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F806D1" w14:textId="14343C09" w:rsidR="008C3499" w:rsidRPr="0019648A" w:rsidRDefault="00823118" w:rsidP="00202161">
      <w:pPr>
        <w:pStyle w:val="Title"/>
      </w:pPr>
      <w:r w:rsidRPr="005C36B8">
        <w:t xml:space="preserve">2025 IRP </w:t>
      </w:r>
      <w:r w:rsidR="008C3499" w:rsidRPr="0019648A">
        <w:t>Financial Review</w:t>
      </w:r>
    </w:p>
    <w:p w14:paraId="582A4216" w14:textId="77777777" w:rsidR="008C3499" w:rsidRPr="00DF0C6C" w:rsidRDefault="008C3499" w:rsidP="0059752F">
      <w:pPr>
        <w:rPr>
          <w:rFonts w:ascii="Aptos" w:hAnsi="Aptos" w:cs="Arial"/>
          <w:sz w:val="22"/>
        </w:rPr>
      </w:pPr>
    </w:p>
    <w:p w14:paraId="01AC0652" w14:textId="77777777" w:rsidR="008C3499" w:rsidRPr="0019648A" w:rsidRDefault="008C3499" w:rsidP="00202161">
      <w:pPr>
        <w:pStyle w:val="Heading1"/>
      </w:pPr>
      <w:r w:rsidRPr="0019648A">
        <w:t>A.  Cases Evaluated</w:t>
      </w:r>
    </w:p>
    <w:p w14:paraId="70FB9B1C" w14:textId="3B63A2E1" w:rsidR="008C3499" w:rsidRPr="00DF0C6C" w:rsidRDefault="008C3499" w:rsidP="0059752F">
      <w:pPr>
        <w:pStyle w:val="BodyText"/>
        <w:jc w:val="both"/>
        <w:rPr>
          <w:rFonts w:ascii="Aptos" w:hAnsi="Aptos" w:cs="Arial"/>
          <w:sz w:val="22"/>
          <w:szCs w:val="22"/>
        </w:rPr>
      </w:pPr>
      <w:r w:rsidRPr="00DF0C6C">
        <w:rPr>
          <w:rFonts w:ascii="Aptos" w:hAnsi="Aptos" w:cs="Arial"/>
          <w:sz w:val="22"/>
          <w:szCs w:val="22"/>
        </w:rPr>
        <w:t xml:space="preserve">The </w:t>
      </w:r>
      <w:r w:rsidR="004B7560" w:rsidRPr="005C36B8">
        <w:rPr>
          <w:rFonts w:ascii="Aptos" w:hAnsi="Aptos" w:cs="Arial"/>
          <w:sz w:val="22"/>
          <w:szCs w:val="22"/>
        </w:rPr>
        <w:t xml:space="preserve">2025 </w:t>
      </w:r>
      <w:r w:rsidRPr="00DF0C6C">
        <w:rPr>
          <w:rFonts w:ascii="Aptos" w:hAnsi="Aptos" w:cs="Arial"/>
          <w:sz w:val="22"/>
          <w:szCs w:val="22"/>
        </w:rPr>
        <w:t xml:space="preserve">Integrated Resource Plan </w:t>
      </w:r>
      <w:r w:rsidR="004B7560" w:rsidRPr="005C36B8">
        <w:rPr>
          <w:rFonts w:ascii="Aptos" w:hAnsi="Aptos" w:cs="Arial"/>
          <w:sz w:val="22"/>
          <w:szCs w:val="22"/>
        </w:rPr>
        <w:t xml:space="preserve">(“IRP”) </w:t>
      </w:r>
      <w:r w:rsidRPr="00DF0C6C">
        <w:rPr>
          <w:rFonts w:ascii="Aptos" w:hAnsi="Aptos" w:cs="Arial"/>
          <w:sz w:val="22"/>
          <w:szCs w:val="22"/>
        </w:rPr>
        <w:t>development included a review of many different assumptions, including the following sensitivit</w:t>
      </w:r>
      <w:r w:rsidR="00FB70C3" w:rsidRPr="00DF0C6C">
        <w:rPr>
          <w:rFonts w:ascii="Aptos" w:hAnsi="Aptos" w:cs="Arial"/>
          <w:sz w:val="22"/>
          <w:szCs w:val="22"/>
        </w:rPr>
        <w:t>y</w:t>
      </w:r>
      <w:r w:rsidR="005753A1" w:rsidRPr="00DF0C6C">
        <w:rPr>
          <w:rFonts w:ascii="Aptos" w:hAnsi="Aptos" w:cs="Arial"/>
          <w:sz w:val="22"/>
          <w:szCs w:val="22"/>
        </w:rPr>
        <w:t xml:space="preserve"> cases</w:t>
      </w:r>
      <w:r w:rsidR="001B4751" w:rsidRPr="00DF0C6C">
        <w:rPr>
          <w:rFonts w:ascii="Aptos" w:hAnsi="Aptos" w:cs="Arial"/>
          <w:sz w:val="22"/>
          <w:szCs w:val="22"/>
        </w:rPr>
        <w:t>:</w:t>
      </w:r>
    </w:p>
    <w:p w14:paraId="04376F2B" w14:textId="181FF76B" w:rsidR="005753A1" w:rsidRPr="00DF0C6C" w:rsidRDefault="00202161" w:rsidP="005B763A">
      <w:pPr>
        <w:pStyle w:val="Heading2"/>
      </w:pPr>
      <w:r>
        <w:t xml:space="preserve">A.1. </w:t>
      </w:r>
      <w:r w:rsidR="005753A1" w:rsidRPr="00DF0C6C">
        <w:t>Sensitivity Cases</w:t>
      </w:r>
    </w:p>
    <w:p w14:paraId="574BB6AE" w14:textId="4FA4D1C5" w:rsidR="00916A48" w:rsidRPr="00DF0C6C" w:rsidRDefault="00916A48" w:rsidP="0059752F">
      <w:pPr>
        <w:pStyle w:val="BodyText"/>
        <w:jc w:val="both"/>
        <w:rPr>
          <w:rFonts w:ascii="Aptos" w:hAnsi="Aptos" w:cs="Arial"/>
          <w:sz w:val="22"/>
          <w:szCs w:val="22"/>
        </w:rPr>
      </w:pPr>
      <w:r w:rsidRPr="00DF0C6C">
        <w:rPr>
          <w:rFonts w:ascii="Aptos" w:hAnsi="Aptos" w:cs="Arial"/>
          <w:sz w:val="22"/>
          <w:szCs w:val="22"/>
        </w:rPr>
        <w:t xml:space="preserve">Table 1 provides a list of the sensitivities </w:t>
      </w:r>
      <w:r w:rsidR="00256DB6" w:rsidRPr="00DF0C6C">
        <w:rPr>
          <w:rFonts w:ascii="Aptos" w:hAnsi="Aptos" w:cs="Arial"/>
          <w:sz w:val="22"/>
          <w:szCs w:val="22"/>
        </w:rPr>
        <w:t xml:space="preserve">that are included in the </w:t>
      </w:r>
      <w:r w:rsidR="003C1936">
        <w:rPr>
          <w:rFonts w:ascii="Aptos" w:hAnsi="Aptos" w:cs="Arial"/>
          <w:sz w:val="22"/>
          <w:szCs w:val="22"/>
        </w:rPr>
        <w:t>F</w:t>
      </w:r>
      <w:r w:rsidR="00256DB6" w:rsidRPr="00DF0C6C">
        <w:rPr>
          <w:rFonts w:ascii="Aptos" w:hAnsi="Aptos" w:cs="Arial"/>
          <w:sz w:val="22"/>
          <w:szCs w:val="22"/>
        </w:rPr>
        <w:t xml:space="preserve">inancial </w:t>
      </w:r>
      <w:r w:rsidR="003C1936">
        <w:rPr>
          <w:rFonts w:ascii="Aptos" w:hAnsi="Aptos" w:cs="Arial"/>
          <w:sz w:val="22"/>
          <w:szCs w:val="22"/>
        </w:rPr>
        <w:t>R</w:t>
      </w:r>
      <w:r w:rsidR="00256DB6" w:rsidRPr="00DF0C6C">
        <w:rPr>
          <w:rFonts w:ascii="Aptos" w:hAnsi="Aptos" w:cs="Arial"/>
          <w:sz w:val="22"/>
          <w:szCs w:val="22"/>
        </w:rPr>
        <w:t xml:space="preserve">eview. </w:t>
      </w:r>
      <w:r w:rsidR="00C2020B" w:rsidRPr="00DF0C6C">
        <w:rPr>
          <w:rFonts w:ascii="Aptos" w:hAnsi="Aptos" w:cs="Arial"/>
          <w:sz w:val="22"/>
          <w:szCs w:val="22"/>
        </w:rPr>
        <w:t xml:space="preserve">Table 2 </w:t>
      </w:r>
      <w:r w:rsidR="00B91C2D" w:rsidRPr="00DF0C6C">
        <w:rPr>
          <w:rFonts w:ascii="Aptos" w:hAnsi="Aptos" w:cs="Arial"/>
          <w:sz w:val="22"/>
          <w:szCs w:val="22"/>
        </w:rPr>
        <w:t xml:space="preserve">summarizes </w:t>
      </w:r>
      <w:r w:rsidR="0040013A" w:rsidRPr="00DF0C6C">
        <w:rPr>
          <w:rFonts w:ascii="Aptos" w:hAnsi="Aptos" w:cs="Arial"/>
          <w:sz w:val="22"/>
          <w:szCs w:val="22"/>
        </w:rPr>
        <w:t xml:space="preserve">how </w:t>
      </w:r>
      <w:r w:rsidR="003D0B83" w:rsidRPr="00DF0C6C">
        <w:rPr>
          <w:rFonts w:ascii="Aptos" w:hAnsi="Aptos" w:cs="Arial"/>
          <w:sz w:val="22"/>
          <w:szCs w:val="22"/>
        </w:rPr>
        <w:t xml:space="preserve">the sensitivities satisfy the </w:t>
      </w:r>
      <w:r w:rsidR="00646A74" w:rsidRPr="00DF0C6C">
        <w:rPr>
          <w:rFonts w:ascii="Aptos" w:hAnsi="Aptos" w:cs="Arial"/>
          <w:sz w:val="22"/>
          <w:szCs w:val="22"/>
        </w:rPr>
        <w:t xml:space="preserve">requirements of the </w:t>
      </w:r>
      <w:r w:rsidR="003C1936">
        <w:rPr>
          <w:rFonts w:ascii="Aptos" w:hAnsi="Aptos" w:cs="Arial"/>
          <w:sz w:val="22"/>
          <w:szCs w:val="22"/>
        </w:rPr>
        <w:t>F</w:t>
      </w:r>
      <w:r w:rsidR="00646A74" w:rsidRPr="00DF0C6C">
        <w:rPr>
          <w:rFonts w:ascii="Aptos" w:hAnsi="Aptos" w:cs="Arial"/>
          <w:sz w:val="22"/>
          <w:szCs w:val="22"/>
        </w:rPr>
        <w:t xml:space="preserve">inancial </w:t>
      </w:r>
      <w:r w:rsidR="003C1936">
        <w:rPr>
          <w:rFonts w:ascii="Aptos" w:hAnsi="Aptos" w:cs="Arial"/>
          <w:sz w:val="22"/>
          <w:szCs w:val="22"/>
        </w:rPr>
        <w:t>R</w:t>
      </w:r>
      <w:r w:rsidR="00646A74" w:rsidRPr="00DF0C6C">
        <w:rPr>
          <w:rFonts w:ascii="Aptos" w:hAnsi="Aptos" w:cs="Arial"/>
          <w:sz w:val="22"/>
          <w:szCs w:val="22"/>
        </w:rPr>
        <w:t>eview.</w:t>
      </w:r>
    </w:p>
    <w:p w14:paraId="35D867A3" w14:textId="77777777" w:rsidR="00646A74" w:rsidRPr="00DF0C6C" w:rsidRDefault="00646A74" w:rsidP="0059752F">
      <w:pPr>
        <w:pStyle w:val="BodyText"/>
        <w:jc w:val="both"/>
        <w:rPr>
          <w:rFonts w:ascii="Aptos" w:hAnsi="Aptos" w:cs="Arial"/>
          <w:sz w:val="22"/>
          <w:szCs w:val="22"/>
        </w:rPr>
      </w:pPr>
    </w:p>
    <w:p w14:paraId="7F19D9F4" w14:textId="465BB9A4" w:rsidR="000F25EB" w:rsidRPr="00DF0C6C" w:rsidRDefault="000F25EB" w:rsidP="007C7252">
      <w:pPr>
        <w:pStyle w:val="BodyText"/>
        <w:keepNext/>
        <w:spacing w:line="276" w:lineRule="auto"/>
        <w:jc w:val="center"/>
        <w:rPr>
          <w:rFonts w:ascii="Aptos" w:hAnsi="Aptos" w:cs="Arial"/>
          <w:i/>
          <w:iCs/>
          <w:sz w:val="22"/>
          <w:szCs w:val="22"/>
          <w:u w:val="single"/>
        </w:rPr>
      </w:pPr>
      <w:r w:rsidRPr="00DF0C6C">
        <w:rPr>
          <w:rFonts w:ascii="Aptos" w:hAnsi="Aptos" w:cs="Arial"/>
          <w:i/>
          <w:iCs/>
          <w:sz w:val="22"/>
          <w:szCs w:val="22"/>
          <w:u w:val="single"/>
        </w:rPr>
        <w:t xml:space="preserve">Table 1: </w:t>
      </w:r>
      <w:r w:rsidR="00523CBB" w:rsidRPr="00DF0C6C">
        <w:rPr>
          <w:rFonts w:ascii="Aptos" w:hAnsi="Aptos" w:cs="Arial"/>
          <w:i/>
          <w:iCs/>
          <w:sz w:val="22"/>
          <w:szCs w:val="22"/>
          <w:u w:val="single"/>
        </w:rPr>
        <w:t xml:space="preserve">List of </w:t>
      </w:r>
      <w:r w:rsidR="00100C4A" w:rsidRPr="00DF0C6C">
        <w:rPr>
          <w:rFonts w:ascii="Aptos" w:hAnsi="Aptos" w:cs="Arial"/>
          <w:i/>
          <w:iCs/>
          <w:sz w:val="22"/>
          <w:szCs w:val="22"/>
          <w:u w:val="single"/>
        </w:rPr>
        <w:t>Sensitivities for Financial Review</w:t>
      </w:r>
    </w:p>
    <w:tbl>
      <w:tblPr>
        <w:tblStyle w:val="GridTable4-Accent1"/>
        <w:tblW w:w="7105" w:type="dxa"/>
        <w:jc w:val="center"/>
        <w:tblLook w:val="04A0" w:firstRow="1" w:lastRow="0" w:firstColumn="1" w:lastColumn="0" w:noHBand="0" w:noVBand="1"/>
      </w:tblPr>
      <w:tblGrid>
        <w:gridCol w:w="960"/>
        <w:gridCol w:w="6145"/>
      </w:tblGrid>
      <w:tr w:rsidR="00A4247C" w:rsidRPr="004128EF" w14:paraId="648EF271" w14:textId="77777777" w:rsidTr="003A4B60">
        <w:trPr>
          <w:cnfStyle w:val="100000000000" w:firstRow="1" w:lastRow="0" w:firstColumn="0" w:lastColumn="0" w:oddVBand="0" w:evenVBand="0" w:oddHBand="0" w:evenHBand="0" w:firstRowFirstColumn="0" w:firstRowLastColumn="0" w:lastRowFirstColumn="0" w:lastRowLastColumn="0"/>
          <w:trHeight w:val="260"/>
          <w:jc w:val="center"/>
        </w:trPr>
        <w:tc>
          <w:tcPr>
            <w:cnfStyle w:val="001000000000" w:firstRow="0" w:lastRow="0" w:firstColumn="1" w:lastColumn="0" w:oddVBand="0" w:evenVBand="0" w:oddHBand="0" w:evenHBand="0" w:firstRowFirstColumn="0" w:firstRowLastColumn="0" w:lastRowFirstColumn="0" w:lastRowLastColumn="0"/>
            <w:tcW w:w="960" w:type="dxa"/>
            <w:noWrap/>
            <w:hideMark/>
          </w:tcPr>
          <w:p w14:paraId="49D844A4" w14:textId="77777777" w:rsidR="00A4247C" w:rsidRPr="005C36B8" w:rsidRDefault="00A4247C" w:rsidP="00C01B4E">
            <w:pPr>
              <w:jc w:val="center"/>
              <w:rPr>
                <w:rFonts w:ascii="Aptos" w:eastAsia="Times New Roman" w:hAnsi="Aptos" w:cs="Times New Roman"/>
                <w:kern w:val="0"/>
                <w:sz w:val="22"/>
                <w:szCs w:val="20"/>
                <w14:ligatures w14:val="none"/>
              </w:rPr>
            </w:pPr>
            <w:r w:rsidRPr="005C36B8">
              <w:rPr>
                <w:rFonts w:ascii="Aptos" w:eastAsia="Times New Roman" w:hAnsi="Aptos" w:cs="Times New Roman"/>
                <w:kern w:val="0"/>
                <w:sz w:val="22"/>
                <w:szCs w:val="20"/>
                <w14:ligatures w14:val="none"/>
              </w:rPr>
              <w:t>Case #</w:t>
            </w:r>
          </w:p>
        </w:tc>
        <w:tc>
          <w:tcPr>
            <w:tcW w:w="6145" w:type="dxa"/>
            <w:noWrap/>
            <w:hideMark/>
          </w:tcPr>
          <w:p w14:paraId="08CE11D6" w14:textId="6746C1CF" w:rsidR="00A4247C" w:rsidRPr="005C36B8" w:rsidRDefault="00A4247C" w:rsidP="00C01B4E">
            <w:pPr>
              <w:cnfStyle w:val="100000000000" w:firstRow="1" w:lastRow="0" w:firstColumn="0" w:lastColumn="0" w:oddVBand="0" w:evenVBand="0" w:oddHBand="0" w:evenHBand="0" w:firstRowFirstColumn="0" w:firstRowLastColumn="0" w:lastRowFirstColumn="0" w:lastRowLastColumn="0"/>
              <w:rPr>
                <w:rFonts w:ascii="Aptos" w:eastAsia="Times New Roman" w:hAnsi="Aptos" w:cs="Times New Roman"/>
                <w:kern w:val="0"/>
                <w:sz w:val="22"/>
                <w:szCs w:val="20"/>
                <w14:ligatures w14:val="none"/>
              </w:rPr>
            </w:pPr>
            <w:r w:rsidRPr="005C36B8">
              <w:rPr>
                <w:rFonts w:ascii="Aptos" w:eastAsia="Times New Roman" w:hAnsi="Aptos" w:cs="Times New Roman"/>
                <w:kern w:val="0"/>
                <w:sz w:val="22"/>
                <w:szCs w:val="20"/>
                <w14:ligatures w14:val="none"/>
              </w:rPr>
              <w:t>Sensitivity Description</w:t>
            </w:r>
          </w:p>
        </w:tc>
      </w:tr>
      <w:tr w:rsidR="00A4247C" w:rsidRPr="004128EF" w14:paraId="735F1C98" w14:textId="77777777" w:rsidTr="00C61E6F">
        <w:trPr>
          <w:cnfStyle w:val="000000100000" w:firstRow="0" w:lastRow="0" w:firstColumn="0" w:lastColumn="0" w:oddVBand="0" w:evenVBand="0" w:oddHBand="1" w:evenHBand="0" w:firstRowFirstColumn="0" w:firstRowLastColumn="0" w:lastRowFirstColumn="0" w:lastRowLastColumn="0"/>
          <w:trHeight w:val="432"/>
          <w:jc w:val="center"/>
        </w:trPr>
        <w:tc>
          <w:tcPr>
            <w:cnfStyle w:val="001000000000" w:firstRow="0" w:lastRow="0" w:firstColumn="1" w:lastColumn="0" w:oddVBand="0" w:evenVBand="0" w:oddHBand="0" w:evenHBand="0" w:firstRowFirstColumn="0" w:firstRowLastColumn="0" w:lastRowFirstColumn="0" w:lastRowLastColumn="0"/>
            <w:tcW w:w="960" w:type="dxa"/>
            <w:noWrap/>
            <w:vAlign w:val="center"/>
            <w:hideMark/>
          </w:tcPr>
          <w:p w14:paraId="6D7F5083" w14:textId="77777777" w:rsidR="00A4247C" w:rsidRPr="005C36B8" w:rsidRDefault="00A4247C" w:rsidP="00C01B4E">
            <w:pPr>
              <w:jc w:val="center"/>
              <w:rPr>
                <w:rFonts w:ascii="Aptos" w:eastAsia="Times New Roman" w:hAnsi="Aptos" w:cs="Times New Roman"/>
                <w:color w:val="000000"/>
                <w:kern w:val="0"/>
                <w:sz w:val="22"/>
                <w:szCs w:val="20"/>
                <w14:ligatures w14:val="none"/>
              </w:rPr>
            </w:pPr>
            <w:r w:rsidRPr="005C36B8">
              <w:rPr>
                <w:rFonts w:ascii="Aptos" w:eastAsia="Times New Roman" w:hAnsi="Aptos" w:cs="Times New Roman"/>
                <w:color w:val="000000"/>
                <w:kern w:val="0"/>
                <w:sz w:val="22"/>
                <w:szCs w:val="20"/>
                <w14:ligatures w14:val="none"/>
              </w:rPr>
              <w:t>0</w:t>
            </w:r>
          </w:p>
        </w:tc>
        <w:tc>
          <w:tcPr>
            <w:tcW w:w="6145" w:type="dxa"/>
            <w:noWrap/>
            <w:vAlign w:val="center"/>
            <w:hideMark/>
          </w:tcPr>
          <w:p w14:paraId="4840A74D" w14:textId="77777777" w:rsidR="00A4247C" w:rsidRPr="005C36B8" w:rsidRDefault="00A4247C" w:rsidP="00C01B4E">
            <w:pPr>
              <w:cnfStyle w:val="000000100000" w:firstRow="0" w:lastRow="0" w:firstColumn="0" w:lastColumn="0" w:oddVBand="0" w:evenVBand="0" w:oddHBand="1" w:evenHBand="0" w:firstRowFirstColumn="0" w:firstRowLastColumn="0" w:lastRowFirstColumn="0" w:lastRowLastColumn="0"/>
              <w:rPr>
                <w:rFonts w:ascii="Aptos" w:eastAsia="Times New Roman" w:hAnsi="Aptos" w:cs="Times New Roman"/>
                <w:color w:val="000000"/>
                <w:kern w:val="0"/>
                <w:sz w:val="22"/>
                <w:szCs w:val="20"/>
                <w14:ligatures w14:val="none"/>
              </w:rPr>
            </w:pPr>
            <w:r w:rsidRPr="005C36B8">
              <w:rPr>
                <w:rFonts w:ascii="Aptos" w:eastAsia="Times New Roman" w:hAnsi="Aptos" w:cs="Times New Roman"/>
                <w:color w:val="000000"/>
                <w:kern w:val="0"/>
                <w:sz w:val="22"/>
                <w:szCs w:val="20"/>
                <w14:ligatures w14:val="none"/>
              </w:rPr>
              <w:t>111 GHG Rule / Moderate Gas / Lower Carbon</w:t>
            </w:r>
          </w:p>
        </w:tc>
      </w:tr>
      <w:tr w:rsidR="00A4247C" w:rsidRPr="004128EF" w14:paraId="720CB655" w14:textId="77777777" w:rsidTr="00C61E6F">
        <w:trPr>
          <w:trHeight w:val="432"/>
          <w:jc w:val="center"/>
        </w:trPr>
        <w:tc>
          <w:tcPr>
            <w:cnfStyle w:val="001000000000" w:firstRow="0" w:lastRow="0" w:firstColumn="1" w:lastColumn="0" w:oddVBand="0" w:evenVBand="0" w:oddHBand="0" w:evenHBand="0" w:firstRowFirstColumn="0" w:firstRowLastColumn="0" w:lastRowFirstColumn="0" w:lastRowLastColumn="0"/>
            <w:tcW w:w="960" w:type="dxa"/>
            <w:noWrap/>
            <w:vAlign w:val="center"/>
            <w:hideMark/>
          </w:tcPr>
          <w:p w14:paraId="7932DA37" w14:textId="77777777" w:rsidR="00A4247C" w:rsidRPr="005C36B8" w:rsidRDefault="00A4247C" w:rsidP="00C01B4E">
            <w:pPr>
              <w:jc w:val="center"/>
              <w:rPr>
                <w:rFonts w:ascii="Aptos" w:eastAsia="Times New Roman" w:hAnsi="Aptos" w:cs="Times New Roman"/>
                <w:color w:val="000000"/>
                <w:kern w:val="0"/>
                <w:sz w:val="22"/>
                <w:szCs w:val="20"/>
                <w14:ligatures w14:val="none"/>
              </w:rPr>
            </w:pPr>
            <w:r w:rsidRPr="005C36B8">
              <w:rPr>
                <w:rFonts w:ascii="Aptos" w:eastAsia="Times New Roman" w:hAnsi="Aptos" w:cs="Times New Roman"/>
                <w:color w:val="000000"/>
                <w:kern w:val="0"/>
                <w:sz w:val="22"/>
                <w:szCs w:val="20"/>
                <w14:ligatures w14:val="none"/>
              </w:rPr>
              <w:t>1</w:t>
            </w:r>
          </w:p>
        </w:tc>
        <w:tc>
          <w:tcPr>
            <w:tcW w:w="6145" w:type="dxa"/>
            <w:noWrap/>
            <w:vAlign w:val="center"/>
            <w:hideMark/>
          </w:tcPr>
          <w:p w14:paraId="2EEA6AB7" w14:textId="77777777" w:rsidR="00A4247C" w:rsidRPr="005C36B8" w:rsidRDefault="00A4247C" w:rsidP="00C01B4E">
            <w:pPr>
              <w:cnfStyle w:val="000000000000" w:firstRow="0" w:lastRow="0" w:firstColumn="0" w:lastColumn="0" w:oddVBand="0" w:evenVBand="0" w:oddHBand="0" w:evenHBand="0" w:firstRowFirstColumn="0" w:firstRowLastColumn="0" w:lastRowFirstColumn="0" w:lastRowLastColumn="0"/>
              <w:rPr>
                <w:rFonts w:ascii="Aptos" w:eastAsia="Times New Roman" w:hAnsi="Aptos" w:cs="Times New Roman"/>
                <w:color w:val="000000"/>
                <w:kern w:val="0"/>
                <w:sz w:val="22"/>
                <w:szCs w:val="20"/>
                <w14:ligatures w14:val="none"/>
              </w:rPr>
            </w:pPr>
            <w:r w:rsidRPr="005C36B8">
              <w:rPr>
                <w:rFonts w:ascii="Aptos" w:eastAsia="Times New Roman" w:hAnsi="Aptos" w:cs="Times New Roman"/>
                <w:color w:val="000000"/>
                <w:kern w:val="0"/>
                <w:sz w:val="22"/>
                <w:szCs w:val="20"/>
                <w14:ligatures w14:val="none"/>
              </w:rPr>
              <w:t>111 GHG Rule / High Gas / Lower Carbon</w:t>
            </w:r>
          </w:p>
        </w:tc>
      </w:tr>
      <w:tr w:rsidR="00A4247C" w:rsidRPr="004128EF" w14:paraId="6A62A2CF" w14:textId="77777777" w:rsidTr="00C61E6F">
        <w:trPr>
          <w:cnfStyle w:val="000000100000" w:firstRow="0" w:lastRow="0" w:firstColumn="0" w:lastColumn="0" w:oddVBand="0" w:evenVBand="0" w:oddHBand="1" w:evenHBand="0" w:firstRowFirstColumn="0" w:firstRowLastColumn="0" w:lastRowFirstColumn="0" w:lastRowLastColumn="0"/>
          <w:trHeight w:val="432"/>
          <w:jc w:val="center"/>
        </w:trPr>
        <w:tc>
          <w:tcPr>
            <w:cnfStyle w:val="001000000000" w:firstRow="0" w:lastRow="0" w:firstColumn="1" w:lastColumn="0" w:oddVBand="0" w:evenVBand="0" w:oddHBand="0" w:evenHBand="0" w:firstRowFirstColumn="0" w:firstRowLastColumn="0" w:lastRowFirstColumn="0" w:lastRowLastColumn="0"/>
            <w:tcW w:w="960" w:type="dxa"/>
            <w:noWrap/>
            <w:vAlign w:val="center"/>
            <w:hideMark/>
          </w:tcPr>
          <w:p w14:paraId="7EED19A5" w14:textId="77777777" w:rsidR="00A4247C" w:rsidRPr="005C36B8" w:rsidRDefault="00A4247C" w:rsidP="00C01B4E">
            <w:pPr>
              <w:jc w:val="center"/>
              <w:rPr>
                <w:rFonts w:ascii="Aptos" w:eastAsia="Times New Roman" w:hAnsi="Aptos" w:cs="Times New Roman"/>
                <w:color w:val="000000"/>
                <w:kern w:val="0"/>
                <w:sz w:val="22"/>
                <w:szCs w:val="20"/>
                <w14:ligatures w14:val="none"/>
              </w:rPr>
            </w:pPr>
            <w:r w:rsidRPr="005C36B8">
              <w:rPr>
                <w:rFonts w:ascii="Aptos" w:eastAsia="Times New Roman" w:hAnsi="Aptos" w:cs="Times New Roman"/>
                <w:color w:val="000000"/>
                <w:kern w:val="0"/>
                <w:sz w:val="22"/>
                <w:szCs w:val="20"/>
                <w14:ligatures w14:val="none"/>
              </w:rPr>
              <w:t>2</w:t>
            </w:r>
          </w:p>
        </w:tc>
        <w:tc>
          <w:tcPr>
            <w:tcW w:w="6145" w:type="dxa"/>
            <w:noWrap/>
            <w:vAlign w:val="center"/>
            <w:hideMark/>
          </w:tcPr>
          <w:p w14:paraId="68FDC45A" w14:textId="77777777" w:rsidR="00A4247C" w:rsidRPr="005C36B8" w:rsidRDefault="00A4247C" w:rsidP="00C01B4E">
            <w:pPr>
              <w:cnfStyle w:val="000000100000" w:firstRow="0" w:lastRow="0" w:firstColumn="0" w:lastColumn="0" w:oddVBand="0" w:evenVBand="0" w:oddHBand="1" w:evenHBand="0" w:firstRowFirstColumn="0" w:firstRowLastColumn="0" w:lastRowFirstColumn="0" w:lastRowLastColumn="0"/>
              <w:rPr>
                <w:rFonts w:ascii="Aptos" w:eastAsia="Times New Roman" w:hAnsi="Aptos" w:cs="Times New Roman"/>
                <w:color w:val="000000"/>
                <w:kern w:val="0"/>
                <w:sz w:val="22"/>
                <w:szCs w:val="20"/>
                <w14:ligatures w14:val="none"/>
              </w:rPr>
            </w:pPr>
            <w:r w:rsidRPr="005C36B8">
              <w:rPr>
                <w:rFonts w:ascii="Aptos" w:eastAsia="Times New Roman" w:hAnsi="Aptos" w:cs="Times New Roman"/>
                <w:color w:val="000000"/>
                <w:kern w:val="0"/>
                <w:sz w:val="22"/>
                <w:szCs w:val="20"/>
                <w14:ligatures w14:val="none"/>
              </w:rPr>
              <w:t>111 GHG Rule / Moderate Gas / Higher Carbon</w:t>
            </w:r>
          </w:p>
        </w:tc>
      </w:tr>
      <w:tr w:rsidR="00A4247C" w:rsidRPr="004128EF" w14:paraId="71B51B19" w14:textId="77777777" w:rsidTr="00C61E6F">
        <w:trPr>
          <w:trHeight w:val="432"/>
          <w:jc w:val="center"/>
        </w:trPr>
        <w:tc>
          <w:tcPr>
            <w:cnfStyle w:val="001000000000" w:firstRow="0" w:lastRow="0" w:firstColumn="1" w:lastColumn="0" w:oddVBand="0" w:evenVBand="0" w:oddHBand="0" w:evenHBand="0" w:firstRowFirstColumn="0" w:firstRowLastColumn="0" w:lastRowFirstColumn="0" w:lastRowLastColumn="0"/>
            <w:tcW w:w="960" w:type="dxa"/>
            <w:noWrap/>
            <w:vAlign w:val="center"/>
            <w:hideMark/>
          </w:tcPr>
          <w:p w14:paraId="37CF7C04" w14:textId="77777777" w:rsidR="00A4247C" w:rsidRPr="005C36B8" w:rsidRDefault="00A4247C" w:rsidP="00C01B4E">
            <w:pPr>
              <w:jc w:val="center"/>
              <w:rPr>
                <w:rFonts w:ascii="Aptos" w:eastAsia="Times New Roman" w:hAnsi="Aptos" w:cs="Times New Roman"/>
                <w:color w:val="000000"/>
                <w:kern w:val="0"/>
                <w:sz w:val="22"/>
                <w:szCs w:val="20"/>
                <w14:ligatures w14:val="none"/>
              </w:rPr>
            </w:pPr>
            <w:r w:rsidRPr="005C36B8">
              <w:rPr>
                <w:rFonts w:ascii="Aptos" w:eastAsia="Times New Roman" w:hAnsi="Aptos" w:cs="Times New Roman"/>
                <w:color w:val="000000"/>
                <w:kern w:val="0"/>
                <w:sz w:val="22"/>
                <w:szCs w:val="20"/>
                <w14:ligatures w14:val="none"/>
              </w:rPr>
              <w:t>3</w:t>
            </w:r>
          </w:p>
        </w:tc>
        <w:tc>
          <w:tcPr>
            <w:tcW w:w="6145" w:type="dxa"/>
            <w:noWrap/>
            <w:vAlign w:val="center"/>
            <w:hideMark/>
          </w:tcPr>
          <w:p w14:paraId="2DD579F9" w14:textId="77777777" w:rsidR="00A4247C" w:rsidRPr="005C36B8" w:rsidRDefault="00A4247C" w:rsidP="00C01B4E">
            <w:pPr>
              <w:cnfStyle w:val="000000000000" w:firstRow="0" w:lastRow="0" w:firstColumn="0" w:lastColumn="0" w:oddVBand="0" w:evenVBand="0" w:oddHBand="0" w:evenHBand="0" w:firstRowFirstColumn="0" w:firstRowLastColumn="0" w:lastRowFirstColumn="0" w:lastRowLastColumn="0"/>
              <w:rPr>
                <w:rFonts w:ascii="Aptos" w:eastAsia="Times New Roman" w:hAnsi="Aptos" w:cs="Times New Roman"/>
                <w:color w:val="000000"/>
                <w:kern w:val="0"/>
                <w:sz w:val="22"/>
                <w:szCs w:val="20"/>
                <w14:ligatures w14:val="none"/>
              </w:rPr>
            </w:pPr>
            <w:r w:rsidRPr="005C36B8">
              <w:rPr>
                <w:rFonts w:ascii="Aptos" w:eastAsia="Times New Roman" w:hAnsi="Aptos" w:cs="Times New Roman"/>
                <w:color w:val="000000"/>
                <w:kern w:val="0"/>
                <w:sz w:val="22"/>
                <w:szCs w:val="20"/>
                <w14:ligatures w14:val="none"/>
              </w:rPr>
              <w:t>Low Gas / Lower Carbon</w:t>
            </w:r>
          </w:p>
        </w:tc>
      </w:tr>
      <w:tr w:rsidR="00A4247C" w:rsidRPr="004128EF" w14:paraId="6DA826DC" w14:textId="77777777" w:rsidTr="00C61E6F">
        <w:trPr>
          <w:cnfStyle w:val="000000100000" w:firstRow="0" w:lastRow="0" w:firstColumn="0" w:lastColumn="0" w:oddVBand="0" w:evenVBand="0" w:oddHBand="1" w:evenHBand="0" w:firstRowFirstColumn="0" w:firstRowLastColumn="0" w:lastRowFirstColumn="0" w:lastRowLastColumn="0"/>
          <w:trHeight w:val="432"/>
          <w:jc w:val="center"/>
        </w:trPr>
        <w:tc>
          <w:tcPr>
            <w:cnfStyle w:val="001000000000" w:firstRow="0" w:lastRow="0" w:firstColumn="1" w:lastColumn="0" w:oddVBand="0" w:evenVBand="0" w:oddHBand="0" w:evenHBand="0" w:firstRowFirstColumn="0" w:firstRowLastColumn="0" w:lastRowFirstColumn="0" w:lastRowLastColumn="0"/>
            <w:tcW w:w="960" w:type="dxa"/>
            <w:noWrap/>
            <w:vAlign w:val="center"/>
            <w:hideMark/>
          </w:tcPr>
          <w:p w14:paraId="0B7211D2" w14:textId="77777777" w:rsidR="00A4247C" w:rsidRPr="005C36B8" w:rsidRDefault="00A4247C" w:rsidP="00C01B4E">
            <w:pPr>
              <w:jc w:val="center"/>
              <w:rPr>
                <w:rFonts w:ascii="Aptos" w:eastAsia="Times New Roman" w:hAnsi="Aptos" w:cs="Times New Roman"/>
                <w:color w:val="000000"/>
                <w:kern w:val="0"/>
                <w:sz w:val="22"/>
                <w:szCs w:val="20"/>
                <w14:ligatures w14:val="none"/>
              </w:rPr>
            </w:pPr>
            <w:r w:rsidRPr="005C36B8">
              <w:rPr>
                <w:rFonts w:ascii="Aptos" w:eastAsia="Times New Roman" w:hAnsi="Aptos" w:cs="Times New Roman"/>
                <w:color w:val="000000"/>
                <w:kern w:val="0"/>
                <w:sz w:val="22"/>
                <w:szCs w:val="20"/>
                <w14:ligatures w14:val="none"/>
              </w:rPr>
              <w:t>4</w:t>
            </w:r>
          </w:p>
        </w:tc>
        <w:tc>
          <w:tcPr>
            <w:tcW w:w="6145" w:type="dxa"/>
            <w:noWrap/>
            <w:vAlign w:val="center"/>
            <w:hideMark/>
          </w:tcPr>
          <w:p w14:paraId="32226C79" w14:textId="77777777" w:rsidR="00A4247C" w:rsidRPr="005C36B8" w:rsidRDefault="00A4247C" w:rsidP="00C01B4E">
            <w:pPr>
              <w:cnfStyle w:val="000000100000" w:firstRow="0" w:lastRow="0" w:firstColumn="0" w:lastColumn="0" w:oddVBand="0" w:evenVBand="0" w:oddHBand="1" w:evenHBand="0" w:firstRowFirstColumn="0" w:firstRowLastColumn="0" w:lastRowFirstColumn="0" w:lastRowLastColumn="0"/>
              <w:rPr>
                <w:rFonts w:ascii="Aptos" w:eastAsia="Times New Roman" w:hAnsi="Aptos" w:cs="Times New Roman"/>
                <w:color w:val="000000"/>
                <w:kern w:val="0"/>
                <w:sz w:val="22"/>
                <w:szCs w:val="20"/>
                <w14:ligatures w14:val="none"/>
              </w:rPr>
            </w:pPr>
            <w:r w:rsidRPr="005C36B8">
              <w:rPr>
                <w:rFonts w:ascii="Aptos" w:eastAsia="Times New Roman" w:hAnsi="Aptos" w:cs="Times New Roman"/>
                <w:color w:val="000000"/>
                <w:kern w:val="0"/>
                <w:sz w:val="22"/>
                <w:szCs w:val="20"/>
                <w14:ligatures w14:val="none"/>
              </w:rPr>
              <w:t>Moderate Gas / Lower Carbon</w:t>
            </w:r>
          </w:p>
        </w:tc>
      </w:tr>
      <w:tr w:rsidR="00A4247C" w:rsidRPr="004128EF" w14:paraId="7A9ECED9" w14:textId="77777777" w:rsidTr="00C61E6F">
        <w:trPr>
          <w:trHeight w:val="432"/>
          <w:jc w:val="center"/>
        </w:trPr>
        <w:tc>
          <w:tcPr>
            <w:cnfStyle w:val="001000000000" w:firstRow="0" w:lastRow="0" w:firstColumn="1" w:lastColumn="0" w:oddVBand="0" w:evenVBand="0" w:oddHBand="0" w:evenHBand="0" w:firstRowFirstColumn="0" w:firstRowLastColumn="0" w:lastRowFirstColumn="0" w:lastRowLastColumn="0"/>
            <w:tcW w:w="960" w:type="dxa"/>
            <w:noWrap/>
            <w:vAlign w:val="center"/>
            <w:hideMark/>
          </w:tcPr>
          <w:p w14:paraId="63247CC1" w14:textId="77777777" w:rsidR="00A4247C" w:rsidRPr="005C36B8" w:rsidRDefault="00A4247C" w:rsidP="00C01B4E">
            <w:pPr>
              <w:jc w:val="center"/>
              <w:rPr>
                <w:rFonts w:ascii="Aptos" w:eastAsia="Times New Roman" w:hAnsi="Aptos" w:cs="Times New Roman"/>
                <w:color w:val="000000"/>
                <w:kern w:val="0"/>
                <w:sz w:val="22"/>
                <w:szCs w:val="20"/>
                <w14:ligatures w14:val="none"/>
              </w:rPr>
            </w:pPr>
            <w:r w:rsidRPr="005C36B8">
              <w:rPr>
                <w:rFonts w:ascii="Aptos" w:eastAsia="Times New Roman" w:hAnsi="Aptos" w:cs="Times New Roman"/>
                <w:color w:val="000000"/>
                <w:kern w:val="0"/>
                <w:sz w:val="22"/>
                <w:szCs w:val="20"/>
                <w14:ligatures w14:val="none"/>
              </w:rPr>
              <w:t>5</w:t>
            </w:r>
          </w:p>
        </w:tc>
        <w:tc>
          <w:tcPr>
            <w:tcW w:w="6145" w:type="dxa"/>
            <w:noWrap/>
            <w:vAlign w:val="center"/>
            <w:hideMark/>
          </w:tcPr>
          <w:p w14:paraId="09D2E4C3" w14:textId="0FE848BF" w:rsidR="00A4247C" w:rsidRPr="005C36B8" w:rsidRDefault="00A94990" w:rsidP="00C01B4E">
            <w:pPr>
              <w:cnfStyle w:val="000000000000" w:firstRow="0" w:lastRow="0" w:firstColumn="0" w:lastColumn="0" w:oddVBand="0" w:evenVBand="0" w:oddHBand="0" w:evenHBand="0" w:firstRowFirstColumn="0" w:firstRowLastColumn="0" w:lastRowFirstColumn="0" w:lastRowLastColumn="0"/>
              <w:rPr>
                <w:rFonts w:ascii="Aptos" w:eastAsia="Times New Roman" w:hAnsi="Aptos" w:cs="Times New Roman"/>
                <w:color w:val="000000"/>
                <w:kern w:val="0"/>
                <w:sz w:val="22"/>
                <w:szCs w:val="20"/>
                <w14:ligatures w14:val="none"/>
              </w:rPr>
            </w:pPr>
            <w:r w:rsidRPr="005C36B8">
              <w:rPr>
                <w:rFonts w:ascii="Aptos" w:eastAsia="Times New Roman" w:hAnsi="Aptos" w:cs="Times New Roman"/>
                <w:color w:val="000000"/>
                <w:kern w:val="0"/>
                <w:sz w:val="22"/>
                <w:szCs w:val="20"/>
                <w14:ligatures w14:val="none"/>
              </w:rPr>
              <w:t xml:space="preserve">Lower Load / </w:t>
            </w:r>
            <w:r w:rsidR="00A4247C" w:rsidRPr="005C36B8">
              <w:rPr>
                <w:rFonts w:ascii="Aptos" w:eastAsia="Times New Roman" w:hAnsi="Aptos" w:cs="Times New Roman"/>
                <w:color w:val="000000"/>
                <w:kern w:val="0"/>
                <w:sz w:val="22"/>
                <w:szCs w:val="20"/>
                <w14:ligatures w14:val="none"/>
              </w:rPr>
              <w:t>High Gas / Lower Carbon</w:t>
            </w:r>
          </w:p>
        </w:tc>
      </w:tr>
      <w:tr w:rsidR="00A4247C" w:rsidRPr="004128EF" w14:paraId="6BD31D8F" w14:textId="77777777" w:rsidTr="00C61E6F">
        <w:trPr>
          <w:cnfStyle w:val="000000100000" w:firstRow="0" w:lastRow="0" w:firstColumn="0" w:lastColumn="0" w:oddVBand="0" w:evenVBand="0" w:oddHBand="1" w:evenHBand="0" w:firstRowFirstColumn="0" w:firstRowLastColumn="0" w:lastRowFirstColumn="0" w:lastRowLastColumn="0"/>
          <w:trHeight w:val="432"/>
          <w:jc w:val="center"/>
        </w:trPr>
        <w:tc>
          <w:tcPr>
            <w:cnfStyle w:val="001000000000" w:firstRow="0" w:lastRow="0" w:firstColumn="1" w:lastColumn="0" w:oddVBand="0" w:evenVBand="0" w:oddHBand="0" w:evenHBand="0" w:firstRowFirstColumn="0" w:firstRowLastColumn="0" w:lastRowFirstColumn="0" w:lastRowLastColumn="0"/>
            <w:tcW w:w="960" w:type="dxa"/>
            <w:noWrap/>
            <w:vAlign w:val="center"/>
            <w:hideMark/>
          </w:tcPr>
          <w:p w14:paraId="73409842" w14:textId="77777777" w:rsidR="00A4247C" w:rsidRPr="005C36B8" w:rsidRDefault="00A4247C" w:rsidP="00C01B4E">
            <w:pPr>
              <w:jc w:val="center"/>
              <w:rPr>
                <w:rFonts w:ascii="Aptos" w:eastAsia="Times New Roman" w:hAnsi="Aptos" w:cs="Times New Roman"/>
                <w:color w:val="000000"/>
                <w:kern w:val="0"/>
                <w:sz w:val="22"/>
                <w:szCs w:val="20"/>
                <w14:ligatures w14:val="none"/>
              </w:rPr>
            </w:pPr>
            <w:r w:rsidRPr="005C36B8">
              <w:rPr>
                <w:rFonts w:ascii="Aptos" w:eastAsia="Times New Roman" w:hAnsi="Aptos" w:cs="Times New Roman"/>
                <w:color w:val="000000"/>
                <w:kern w:val="0"/>
                <w:sz w:val="22"/>
                <w:szCs w:val="20"/>
                <w14:ligatures w14:val="none"/>
              </w:rPr>
              <w:t>6</w:t>
            </w:r>
          </w:p>
        </w:tc>
        <w:tc>
          <w:tcPr>
            <w:tcW w:w="6145" w:type="dxa"/>
            <w:noWrap/>
            <w:vAlign w:val="center"/>
            <w:hideMark/>
          </w:tcPr>
          <w:p w14:paraId="101E0C86" w14:textId="77777777" w:rsidR="00A4247C" w:rsidRPr="005C36B8" w:rsidRDefault="00A4247C" w:rsidP="00C01B4E">
            <w:pPr>
              <w:cnfStyle w:val="000000100000" w:firstRow="0" w:lastRow="0" w:firstColumn="0" w:lastColumn="0" w:oddVBand="0" w:evenVBand="0" w:oddHBand="1" w:evenHBand="0" w:firstRowFirstColumn="0" w:firstRowLastColumn="0" w:lastRowFirstColumn="0" w:lastRowLastColumn="0"/>
              <w:rPr>
                <w:rFonts w:ascii="Aptos" w:eastAsia="Times New Roman" w:hAnsi="Aptos" w:cs="Times New Roman"/>
                <w:color w:val="000000"/>
                <w:kern w:val="0"/>
                <w:sz w:val="22"/>
                <w:szCs w:val="20"/>
                <w14:ligatures w14:val="none"/>
              </w:rPr>
            </w:pPr>
            <w:r w:rsidRPr="005C36B8">
              <w:rPr>
                <w:rFonts w:ascii="Aptos" w:eastAsia="Times New Roman" w:hAnsi="Aptos" w:cs="Times New Roman"/>
                <w:color w:val="000000"/>
                <w:kern w:val="0"/>
                <w:sz w:val="22"/>
                <w:szCs w:val="20"/>
                <w14:ligatures w14:val="none"/>
              </w:rPr>
              <w:t>Moderate Gas / Moderate Carbon</w:t>
            </w:r>
          </w:p>
        </w:tc>
      </w:tr>
      <w:tr w:rsidR="00A4247C" w:rsidRPr="004128EF" w14:paraId="0983B6AB" w14:textId="77777777" w:rsidTr="00C61E6F">
        <w:trPr>
          <w:trHeight w:val="432"/>
          <w:jc w:val="center"/>
        </w:trPr>
        <w:tc>
          <w:tcPr>
            <w:cnfStyle w:val="001000000000" w:firstRow="0" w:lastRow="0" w:firstColumn="1" w:lastColumn="0" w:oddVBand="0" w:evenVBand="0" w:oddHBand="0" w:evenHBand="0" w:firstRowFirstColumn="0" w:firstRowLastColumn="0" w:lastRowFirstColumn="0" w:lastRowLastColumn="0"/>
            <w:tcW w:w="960" w:type="dxa"/>
            <w:noWrap/>
            <w:vAlign w:val="center"/>
            <w:hideMark/>
          </w:tcPr>
          <w:p w14:paraId="39F1120D" w14:textId="77777777" w:rsidR="00A4247C" w:rsidRPr="005C36B8" w:rsidRDefault="00A4247C" w:rsidP="00C01B4E">
            <w:pPr>
              <w:jc w:val="center"/>
              <w:rPr>
                <w:rFonts w:ascii="Aptos" w:eastAsia="Times New Roman" w:hAnsi="Aptos" w:cs="Times New Roman"/>
                <w:color w:val="000000"/>
                <w:kern w:val="0"/>
                <w:sz w:val="22"/>
                <w:szCs w:val="20"/>
                <w14:ligatures w14:val="none"/>
              </w:rPr>
            </w:pPr>
            <w:r w:rsidRPr="005C36B8">
              <w:rPr>
                <w:rFonts w:ascii="Aptos" w:eastAsia="Times New Roman" w:hAnsi="Aptos" w:cs="Times New Roman"/>
                <w:color w:val="000000"/>
                <w:kern w:val="0"/>
                <w:sz w:val="22"/>
                <w:szCs w:val="20"/>
                <w14:ligatures w14:val="none"/>
              </w:rPr>
              <w:t>7</w:t>
            </w:r>
          </w:p>
        </w:tc>
        <w:tc>
          <w:tcPr>
            <w:tcW w:w="6145" w:type="dxa"/>
            <w:noWrap/>
            <w:vAlign w:val="center"/>
            <w:hideMark/>
          </w:tcPr>
          <w:p w14:paraId="704E5E47" w14:textId="77777777" w:rsidR="00A4247C" w:rsidRPr="005C36B8" w:rsidRDefault="00A4247C" w:rsidP="00C01B4E">
            <w:pPr>
              <w:cnfStyle w:val="000000000000" w:firstRow="0" w:lastRow="0" w:firstColumn="0" w:lastColumn="0" w:oddVBand="0" w:evenVBand="0" w:oddHBand="0" w:evenHBand="0" w:firstRowFirstColumn="0" w:firstRowLastColumn="0" w:lastRowFirstColumn="0" w:lastRowLastColumn="0"/>
              <w:rPr>
                <w:rFonts w:ascii="Aptos" w:eastAsia="Times New Roman" w:hAnsi="Aptos" w:cs="Times New Roman"/>
                <w:color w:val="000000"/>
                <w:kern w:val="0"/>
                <w:sz w:val="22"/>
                <w:szCs w:val="20"/>
                <w14:ligatures w14:val="none"/>
              </w:rPr>
            </w:pPr>
            <w:r w:rsidRPr="005C36B8">
              <w:rPr>
                <w:rFonts w:ascii="Aptos" w:eastAsia="Times New Roman" w:hAnsi="Aptos" w:cs="Times New Roman"/>
                <w:color w:val="000000"/>
                <w:kern w:val="0"/>
                <w:sz w:val="22"/>
                <w:szCs w:val="20"/>
                <w14:ligatures w14:val="none"/>
              </w:rPr>
              <w:t>Moderate Gas / Higher Carbon</w:t>
            </w:r>
          </w:p>
        </w:tc>
      </w:tr>
      <w:tr w:rsidR="00A4247C" w:rsidRPr="004128EF" w14:paraId="67C513E2" w14:textId="77777777" w:rsidTr="00C61E6F">
        <w:trPr>
          <w:cnfStyle w:val="000000100000" w:firstRow="0" w:lastRow="0" w:firstColumn="0" w:lastColumn="0" w:oddVBand="0" w:evenVBand="0" w:oddHBand="1" w:evenHBand="0" w:firstRowFirstColumn="0" w:firstRowLastColumn="0" w:lastRowFirstColumn="0" w:lastRowLastColumn="0"/>
          <w:trHeight w:val="432"/>
          <w:jc w:val="center"/>
        </w:trPr>
        <w:tc>
          <w:tcPr>
            <w:cnfStyle w:val="001000000000" w:firstRow="0" w:lastRow="0" w:firstColumn="1" w:lastColumn="0" w:oddVBand="0" w:evenVBand="0" w:oddHBand="0" w:evenHBand="0" w:firstRowFirstColumn="0" w:firstRowLastColumn="0" w:lastRowFirstColumn="0" w:lastRowLastColumn="0"/>
            <w:tcW w:w="960" w:type="dxa"/>
            <w:noWrap/>
            <w:vAlign w:val="center"/>
            <w:hideMark/>
          </w:tcPr>
          <w:p w14:paraId="27BC912C" w14:textId="77777777" w:rsidR="00A4247C" w:rsidRPr="005C36B8" w:rsidRDefault="00A4247C" w:rsidP="00C01B4E">
            <w:pPr>
              <w:jc w:val="center"/>
              <w:rPr>
                <w:rFonts w:ascii="Aptos" w:eastAsia="Times New Roman" w:hAnsi="Aptos" w:cs="Times New Roman"/>
                <w:color w:val="000000"/>
                <w:kern w:val="0"/>
                <w:sz w:val="22"/>
                <w:szCs w:val="20"/>
                <w14:ligatures w14:val="none"/>
              </w:rPr>
            </w:pPr>
            <w:r w:rsidRPr="005C36B8">
              <w:rPr>
                <w:rFonts w:ascii="Aptos" w:eastAsia="Times New Roman" w:hAnsi="Aptos" w:cs="Times New Roman"/>
                <w:color w:val="000000"/>
                <w:kern w:val="0"/>
                <w:sz w:val="22"/>
                <w:szCs w:val="20"/>
                <w14:ligatures w14:val="none"/>
              </w:rPr>
              <w:t>8</w:t>
            </w:r>
          </w:p>
        </w:tc>
        <w:tc>
          <w:tcPr>
            <w:tcW w:w="6145" w:type="dxa"/>
            <w:noWrap/>
            <w:vAlign w:val="center"/>
            <w:hideMark/>
          </w:tcPr>
          <w:p w14:paraId="0819FB29" w14:textId="77777777" w:rsidR="00A4247C" w:rsidRPr="005C36B8" w:rsidRDefault="00A4247C" w:rsidP="00C01B4E">
            <w:pPr>
              <w:cnfStyle w:val="000000100000" w:firstRow="0" w:lastRow="0" w:firstColumn="0" w:lastColumn="0" w:oddVBand="0" w:evenVBand="0" w:oddHBand="1" w:evenHBand="0" w:firstRowFirstColumn="0" w:firstRowLastColumn="0" w:lastRowFirstColumn="0" w:lastRowLastColumn="0"/>
              <w:rPr>
                <w:rFonts w:ascii="Aptos" w:eastAsia="Times New Roman" w:hAnsi="Aptos" w:cs="Times New Roman"/>
                <w:color w:val="000000"/>
                <w:kern w:val="0"/>
                <w:sz w:val="22"/>
                <w:szCs w:val="20"/>
                <w14:ligatures w14:val="none"/>
              </w:rPr>
            </w:pPr>
            <w:r w:rsidRPr="005C36B8">
              <w:rPr>
                <w:rFonts w:ascii="Aptos" w:eastAsia="Times New Roman" w:hAnsi="Aptos" w:cs="Times New Roman"/>
                <w:color w:val="000000"/>
                <w:kern w:val="0"/>
                <w:sz w:val="22"/>
                <w:szCs w:val="20"/>
                <w14:ligatures w14:val="none"/>
              </w:rPr>
              <w:t>Emissions Limit</w:t>
            </w:r>
          </w:p>
        </w:tc>
      </w:tr>
      <w:tr w:rsidR="00A4247C" w:rsidRPr="004128EF" w14:paraId="74730AE0" w14:textId="77777777" w:rsidTr="00C61E6F">
        <w:trPr>
          <w:trHeight w:val="432"/>
          <w:jc w:val="center"/>
        </w:trPr>
        <w:tc>
          <w:tcPr>
            <w:cnfStyle w:val="001000000000" w:firstRow="0" w:lastRow="0" w:firstColumn="1" w:lastColumn="0" w:oddVBand="0" w:evenVBand="0" w:oddHBand="0" w:evenHBand="0" w:firstRowFirstColumn="0" w:firstRowLastColumn="0" w:lastRowFirstColumn="0" w:lastRowLastColumn="0"/>
            <w:tcW w:w="960" w:type="dxa"/>
            <w:noWrap/>
            <w:vAlign w:val="center"/>
            <w:hideMark/>
          </w:tcPr>
          <w:p w14:paraId="10C88D35" w14:textId="77777777" w:rsidR="00A4247C" w:rsidRPr="005C36B8" w:rsidRDefault="00A4247C" w:rsidP="00C01B4E">
            <w:pPr>
              <w:jc w:val="center"/>
              <w:rPr>
                <w:rFonts w:ascii="Aptos" w:eastAsia="Times New Roman" w:hAnsi="Aptos" w:cs="Times New Roman"/>
                <w:color w:val="000000"/>
                <w:kern w:val="0"/>
                <w:sz w:val="22"/>
                <w:szCs w:val="20"/>
                <w14:ligatures w14:val="none"/>
              </w:rPr>
            </w:pPr>
            <w:r w:rsidRPr="005C36B8">
              <w:rPr>
                <w:rFonts w:ascii="Aptos" w:eastAsia="Times New Roman" w:hAnsi="Aptos" w:cs="Times New Roman"/>
                <w:color w:val="000000"/>
                <w:kern w:val="0"/>
                <w:sz w:val="22"/>
                <w:szCs w:val="20"/>
                <w14:ligatures w14:val="none"/>
              </w:rPr>
              <w:t>9</w:t>
            </w:r>
          </w:p>
        </w:tc>
        <w:tc>
          <w:tcPr>
            <w:tcW w:w="6145" w:type="dxa"/>
            <w:noWrap/>
            <w:vAlign w:val="center"/>
            <w:hideMark/>
          </w:tcPr>
          <w:p w14:paraId="78DDEA51" w14:textId="083C7A35" w:rsidR="00A4247C" w:rsidRPr="005C36B8" w:rsidRDefault="000F1D0F" w:rsidP="00C01B4E">
            <w:pPr>
              <w:cnfStyle w:val="000000000000" w:firstRow="0" w:lastRow="0" w:firstColumn="0" w:lastColumn="0" w:oddVBand="0" w:evenVBand="0" w:oddHBand="0" w:evenHBand="0" w:firstRowFirstColumn="0" w:firstRowLastColumn="0" w:lastRowFirstColumn="0" w:lastRowLastColumn="0"/>
              <w:rPr>
                <w:rFonts w:ascii="Aptos" w:eastAsia="Times New Roman" w:hAnsi="Aptos" w:cs="Times New Roman"/>
                <w:color w:val="000000"/>
                <w:kern w:val="0"/>
                <w:sz w:val="22"/>
                <w:szCs w:val="20"/>
                <w14:ligatures w14:val="none"/>
              </w:rPr>
            </w:pPr>
            <w:r w:rsidRPr="005C36B8">
              <w:rPr>
                <w:rFonts w:ascii="Aptos" w:eastAsia="Times New Roman" w:hAnsi="Aptos" w:cs="Times New Roman"/>
                <w:color w:val="000000"/>
                <w:kern w:val="0"/>
                <w:sz w:val="22"/>
                <w:szCs w:val="20"/>
                <w14:ligatures w14:val="none"/>
              </w:rPr>
              <w:t>High Load</w:t>
            </w:r>
            <w:r w:rsidR="002077EC" w:rsidRPr="005C36B8">
              <w:rPr>
                <w:rStyle w:val="FootnoteReference"/>
                <w:rFonts w:ascii="Aptos" w:eastAsia="Times New Roman" w:hAnsi="Aptos" w:cs="Times New Roman"/>
                <w:color w:val="000000"/>
                <w:kern w:val="0"/>
                <w:sz w:val="22"/>
                <w:szCs w:val="20"/>
                <w14:ligatures w14:val="none"/>
              </w:rPr>
              <w:footnoteReference w:id="2"/>
            </w:r>
            <w:r w:rsidRPr="005C36B8">
              <w:rPr>
                <w:rFonts w:ascii="Aptos" w:eastAsia="Times New Roman" w:hAnsi="Aptos" w:cs="Times New Roman"/>
                <w:color w:val="000000"/>
                <w:kern w:val="0"/>
                <w:sz w:val="22"/>
                <w:szCs w:val="20"/>
                <w14:ligatures w14:val="none"/>
              </w:rPr>
              <w:t xml:space="preserve"> / </w:t>
            </w:r>
            <w:r w:rsidR="00A4247C" w:rsidRPr="005C36B8">
              <w:rPr>
                <w:rFonts w:ascii="Aptos" w:eastAsia="Times New Roman" w:hAnsi="Aptos" w:cs="Times New Roman"/>
                <w:color w:val="000000"/>
                <w:kern w:val="0"/>
                <w:sz w:val="22"/>
                <w:szCs w:val="20"/>
                <w14:ligatures w14:val="none"/>
              </w:rPr>
              <w:t xml:space="preserve">Moderate Gas / Lower Carbon </w:t>
            </w:r>
          </w:p>
        </w:tc>
      </w:tr>
      <w:tr w:rsidR="00A4247C" w:rsidRPr="004128EF" w14:paraId="59AF6193" w14:textId="77777777" w:rsidTr="00C61E6F">
        <w:trPr>
          <w:cnfStyle w:val="000000100000" w:firstRow="0" w:lastRow="0" w:firstColumn="0" w:lastColumn="0" w:oddVBand="0" w:evenVBand="0" w:oddHBand="1" w:evenHBand="0" w:firstRowFirstColumn="0" w:firstRowLastColumn="0" w:lastRowFirstColumn="0" w:lastRowLastColumn="0"/>
          <w:trHeight w:val="432"/>
          <w:jc w:val="center"/>
        </w:trPr>
        <w:tc>
          <w:tcPr>
            <w:cnfStyle w:val="001000000000" w:firstRow="0" w:lastRow="0" w:firstColumn="1" w:lastColumn="0" w:oddVBand="0" w:evenVBand="0" w:oddHBand="0" w:evenHBand="0" w:firstRowFirstColumn="0" w:firstRowLastColumn="0" w:lastRowFirstColumn="0" w:lastRowLastColumn="0"/>
            <w:tcW w:w="960" w:type="dxa"/>
            <w:noWrap/>
            <w:vAlign w:val="center"/>
            <w:hideMark/>
          </w:tcPr>
          <w:p w14:paraId="36F80A22" w14:textId="77777777" w:rsidR="00A4247C" w:rsidRPr="005C36B8" w:rsidRDefault="00A4247C" w:rsidP="00C01B4E">
            <w:pPr>
              <w:jc w:val="center"/>
              <w:rPr>
                <w:rFonts w:ascii="Aptos" w:eastAsia="Times New Roman" w:hAnsi="Aptos" w:cs="Times New Roman"/>
                <w:color w:val="000000"/>
                <w:kern w:val="0"/>
                <w:sz w:val="22"/>
                <w:szCs w:val="20"/>
                <w14:ligatures w14:val="none"/>
              </w:rPr>
            </w:pPr>
            <w:r w:rsidRPr="005C36B8">
              <w:rPr>
                <w:rFonts w:ascii="Aptos" w:eastAsia="Times New Roman" w:hAnsi="Aptos" w:cs="Times New Roman"/>
                <w:color w:val="000000"/>
                <w:kern w:val="0"/>
                <w:sz w:val="22"/>
                <w:szCs w:val="20"/>
                <w14:ligatures w14:val="none"/>
              </w:rPr>
              <w:t>10</w:t>
            </w:r>
          </w:p>
        </w:tc>
        <w:tc>
          <w:tcPr>
            <w:tcW w:w="6145" w:type="dxa"/>
            <w:noWrap/>
            <w:vAlign w:val="center"/>
            <w:hideMark/>
          </w:tcPr>
          <w:p w14:paraId="64A99B15" w14:textId="3114B8E8" w:rsidR="00A4247C" w:rsidRPr="005C36B8" w:rsidRDefault="000F1D0F" w:rsidP="00C01B4E">
            <w:pPr>
              <w:cnfStyle w:val="000000100000" w:firstRow="0" w:lastRow="0" w:firstColumn="0" w:lastColumn="0" w:oddVBand="0" w:evenVBand="0" w:oddHBand="1" w:evenHBand="0" w:firstRowFirstColumn="0" w:firstRowLastColumn="0" w:lastRowFirstColumn="0" w:lastRowLastColumn="0"/>
              <w:rPr>
                <w:rFonts w:ascii="Aptos" w:eastAsia="Times New Roman" w:hAnsi="Aptos" w:cs="Times New Roman"/>
                <w:color w:val="000000"/>
                <w:kern w:val="0"/>
                <w:sz w:val="22"/>
                <w:szCs w:val="20"/>
                <w14:ligatures w14:val="none"/>
              </w:rPr>
            </w:pPr>
            <w:r w:rsidRPr="005C36B8">
              <w:rPr>
                <w:rFonts w:ascii="Aptos" w:eastAsia="Times New Roman" w:hAnsi="Aptos" w:cs="Times New Roman"/>
                <w:color w:val="000000"/>
                <w:kern w:val="0"/>
                <w:sz w:val="22"/>
                <w:szCs w:val="20"/>
                <w14:ligatures w14:val="none"/>
              </w:rPr>
              <w:t xml:space="preserve">No Non-Dispatchable DSM / </w:t>
            </w:r>
            <w:r w:rsidR="003A4B60" w:rsidRPr="005C36B8">
              <w:rPr>
                <w:rFonts w:ascii="Aptos" w:eastAsia="Times New Roman" w:hAnsi="Aptos" w:cs="Times New Roman"/>
                <w:color w:val="000000"/>
                <w:kern w:val="0"/>
                <w:sz w:val="22"/>
                <w:szCs w:val="20"/>
                <w14:ligatures w14:val="none"/>
              </w:rPr>
              <w:t xml:space="preserve">Moderate Gas / Lower Carbon </w:t>
            </w:r>
          </w:p>
        </w:tc>
      </w:tr>
      <w:tr w:rsidR="00A4247C" w:rsidRPr="004128EF" w14:paraId="463C2DC3" w14:textId="77777777" w:rsidTr="00C61E6F">
        <w:trPr>
          <w:trHeight w:val="432"/>
          <w:jc w:val="center"/>
        </w:trPr>
        <w:tc>
          <w:tcPr>
            <w:cnfStyle w:val="001000000000" w:firstRow="0" w:lastRow="0" w:firstColumn="1" w:lastColumn="0" w:oddVBand="0" w:evenVBand="0" w:oddHBand="0" w:evenHBand="0" w:firstRowFirstColumn="0" w:firstRowLastColumn="0" w:lastRowFirstColumn="0" w:lastRowLastColumn="0"/>
            <w:tcW w:w="960" w:type="dxa"/>
            <w:noWrap/>
            <w:vAlign w:val="center"/>
            <w:hideMark/>
          </w:tcPr>
          <w:p w14:paraId="69133B36" w14:textId="77777777" w:rsidR="00A4247C" w:rsidRPr="005C36B8" w:rsidRDefault="00A4247C" w:rsidP="00C01B4E">
            <w:pPr>
              <w:jc w:val="center"/>
              <w:rPr>
                <w:rFonts w:ascii="Aptos" w:eastAsia="Times New Roman" w:hAnsi="Aptos" w:cs="Times New Roman"/>
                <w:color w:val="000000"/>
                <w:kern w:val="0"/>
                <w:sz w:val="22"/>
                <w:szCs w:val="20"/>
                <w14:ligatures w14:val="none"/>
              </w:rPr>
            </w:pPr>
            <w:r w:rsidRPr="005C36B8">
              <w:rPr>
                <w:rFonts w:ascii="Aptos" w:eastAsia="Times New Roman" w:hAnsi="Aptos" w:cs="Times New Roman"/>
                <w:color w:val="000000"/>
                <w:kern w:val="0"/>
                <w:sz w:val="22"/>
                <w:szCs w:val="20"/>
                <w14:ligatures w14:val="none"/>
              </w:rPr>
              <w:t>11</w:t>
            </w:r>
          </w:p>
        </w:tc>
        <w:tc>
          <w:tcPr>
            <w:tcW w:w="6145" w:type="dxa"/>
            <w:noWrap/>
            <w:vAlign w:val="center"/>
            <w:hideMark/>
          </w:tcPr>
          <w:p w14:paraId="21D367A7" w14:textId="10637091" w:rsidR="00A4247C" w:rsidRPr="005C36B8" w:rsidRDefault="000F7A2D" w:rsidP="00C01B4E">
            <w:pPr>
              <w:cnfStyle w:val="000000000000" w:firstRow="0" w:lastRow="0" w:firstColumn="0" w:lastColumn="0" w:oddVBand="0" w:evenVBand="0" w:oddHBand="0" w:evenHBand="0" w:firstRowFirstColumn="0" w:firstRowLastColumn="0" w:lastRowFirstColumn="0" w:lastRowLastColumn="0"/>
              <w:rPr>
                <w:rFonts w:ascii="Aptos" w:eastAsia="Times New Roman" w:hAnsi="Aptos" w:cs="Times New Roman"/>
                <w:color w:val="000000"/>
                <w:kern w:val="0"/>
                <w:sz w:val="22"/>
                <w:szCs w:val="20"/>
                <w14:ligatures w14:val="none"/>
              </w:rPr>
            </w:pPr>
            <w:r>
              <w:rPr>
                <w:rFonts w:ascii="Aptos" w:eastAsia="Times New Roman" w:hAnsi="Aptos" w:cs="Times New Roman"/>
                <w:color w:val="000000"/>
                <w:kern w:val="0"/>
                <w:sz w:val="22"/>
                <w:szCs w:val="20"/>
                <w14:ligatures w14:val="none"/>
              </w:rPr>
              <w:t>Advocates</w:t>
            </w:r>
            <w:r w:rsidR="002077EC" w:rsidRPr="005C36B8">
              <w:rPr>
                <w:rStyle w:val="FootnoteReference"/>
                <w:rFonts w:ascii="Aptos" w:eastAsia="Times New Roman" w:hAnsi="Aptos" w:cs="Times New Roman"/>
                <w:color w:val="000000"/>
                <w:kern w:val="0"/>
                <w:sz w:val="22"/>
                <w:szCs w:val="20"/>
                <w14:ligatures w14:val="none"/>
              </w:rPr>
              <w:footnoteReference w:id="3"/>
            </w:r>
            <w:r w:rsidR="000F1D0F" w:rsidRPr="005C36B8">
              <w:rPr>
                <w:rFonts w:ascii="Aptos" w:eastAsia="Times New Roman" w:hAnsi="Aptos" w:cs="Times New Roman"/>
                <w:color w:val="000000"/>
                <w:kern w:val="0"/>
                <w:sz w:val="22"/>
                <w:szCs w:val="20"/>
                <w14:ligatures w14:val="none"/>
              </w:rPr>
              <w:t xml:space="preserve"> / </w:t>
            </w:r>
            <w:r w:rsidR="003A4B60" w:rsidRPr="005C36B8">
              <w:rPr>
                <w:rFonts w:ascii="Aptos" w:eastAsia="Times New Roman" w:hAnsi="Aptos" w:cs="Times New Roman"/>
                <w:color w:val="000000"/>
                <w:kern w:val="0"/>
                <w:sz w:val="22"/>
                <w:szCs w:val="20"/>
                <w14:ligatures w14:val="none"/>
              </w:rPr>
              <w:t>Moderate Gas / Lower Carbon</w:t>
            </w:r>
          </w:p>
        </w:tc>
      </w:tr>
      <w:tr w:rsidR="00A4247C" w:rsidRPr="004128EF" w14:paraId="53C14457" w14:textId="77777777" w:rsidTr="00C61E6F">
        <w:trPr>
          <w:cnfStyle w:val="000000100000" w:firstRow="0" w:lastRow="0" w:firstColumn="0" w:lastColumn="0" w:oddVBand="0" w:evenVBand="0" w:oddHBand="1" w:evenHBand="0" w:firstRowFirstColumn="0" w:firstRowLastColumn="0" w:lastRowFirstColumn="0" w:lastRowLastColumn="0"/>
          <w:trHeight w:val="432"/>
          <w:jc w:val="center"/>
        </w:trPr>
        <w:tc>
          <w:tcPr>
            <w:cnfStyle w:val="001000000000" w:firstRow="0" w:lastRow="0" w:firstColumn="1" w:lastColumn="0" w:oddVBand="0" w:evenVBand="0" w:oddHBand="0" w:evenHBand="0" w:firstRowFirstColumn="0" w:firstRowLastColumn="0" w:lastRowFirstColumn="0" w:lastRowLastColumn="0"/>
            <w:tcW w:w="960" w:type="dxa"/>
            <w:noWrap/>
            <w:vAlign w:val="center"/>
            <w:hideMark/>
          </w:tcPr>
          <w:p w14:paraId="5BB69959" w14:textId="77777777" w:rsidR="00A4247C" w:rsidRPr="005C36B8" w:rsidRDefault="00A4247C" w:rsidP="00C01B4E">
            <w:pPr>
              <w:jc w:val="center"/>
              <w:rPr>
                <w:rFonts w:ascii="Aptos" w:eastAsia="Times New Roman" w:hAnsi="Aptos" w:cs="Times New Roman"/>
                <w:color w:val="000000"/>
                <w:kern w:val="0"/>
                <w:sz w:val="22"/>
                <w:szCs w:val="20"/>
                <w14:ligatures w14:val="none"/>
              </w:rPr>
            </w:pPr>
            <w:r w:rsidRPr="005C36B8">
              <w:rPr>
                <w:rFonts w:ascii="Aptos" w:eastAsia="Times New Roman" w:hAnsi="Aptos" w:cs="Times New Roman"/>
                <w:color w:val="000000"/>
                <w:kern w:val="0"/>
                <w:sz w:val="22"/>
                <w:szCs w:val="20"/>
                <w14:ligatures w14:val="none"/>
              </w:rPr>
              <w:t>12</w:t>
            </w:r>
          </w:p>
        </w:tc>
        <w:tc>
          <w:tcPr>
            <w:tcW w:w="6145" w:type="dxa"/>
            <w:noWrap/>
            <w:vAlign w:val="center"/>
            <w:hideMark/>
          </w:tcPr>
          <w:p w14:paraId="0725E4A5" w14:textId="251C12B6" w:rsidR="00A4247C" w:rsidRPr="005C36B8" w:rsidRDefault="00A4247C" w:rsidP="00C01B4E">
            <w:pPr>
              <w:cnfStyle w:val="000000100000" w:firstRow="0" w:lastRow="0" w:firstColumn="0" w:lastColumn="0" w:oddVBand="0" w:evenVBand="0" w:oddHBand="1" w:evenHBand="0" w:firstRowFirstColumn="0" w:firstRowLastColumn="0" w:lastRowFirstColumn="0" w:lastRowLastColumn="0"/>
              <w:rPr>
                <w:rFonts w:ascii="Aptos" w:eastAsia="Times New Roman" w:hAnsi="Aptos" w:cs="Times New Roman"/>
                <w:color w:val="000000"/>
                <w:kern w:val="0"/>
                <w:sz w:val="22"/>
                <w:szCs w:val="20"/>
                <w14:ligatures w14:val="none"/>
              </w:rPr>
            </w:pPr>
            <w:r w:rsidRPr="005C36B8">
              <w:rPr>
                <w:rFonts w:ascii="Aptos" w:eastAsia="Times New Roman" w:hAnsi="Aptos" w:cs="Times New Roman"/>
                <w:color w:val="000000"/>
                <w:kern w:val="0"/>
                <w:sz w:val="22"/>
                <w:szCs w:val="20"/>
                <w14:ligatures w14:val="none"/>
              </w:rPr>
              <w:t>Economy Energy Purchase</w:t>
            </w:r>
            <w:r w:rsidR="002077EC" w:rsidRPr="005C36B8">
              <w:rPr>
                <w:rStyle w:val="FootnoteReference"/>
                <w:rFonts w:ascii="Aptos" w:eastAsia="Times New Roman" w:hAnsi="Aptos" w:cs="Times New Roman"/>
                <w:color w:val="000000"/>
                <w:kern w:val="0"/>
                <w:sz w:val="22"/>
                <w:szCs w:val="20"/>
                <w14:ligatures w14:val="none"/>
              </w:rPr>
              <w:footnoteReference w:id="4"/>
            </w:r>
            <w:r w:rsidR="000F1D0F" w:rsidRPr="005C36B8">
              <w:rPr>
                <w:rFonts w:ascii="Aptos" w:eastAsia="Times New Roman" w:hAnsi="Aptos" w:cs="Times New Roman"/>
                <w:color w:val="000000"/>
                <w:kern w:val="0"/>
                <w:sz w:val="22"/>
                <w:szCs w:val="20"/>
                <w14:ligatures w14:val="none"/>
              </w:rPr>
              <w:t xml:space="preserve"> / Moderate Gas / Lower Carbon</w:t>
            </w:r>
          </w:p>
        </w:tc>
      </w:tr>
    </w:tbl>
    <w:p w14:paraId="39F7BC1F" w14:textId="29967DC3" w:rsidR="00702C16" w:rsidRPr="005C36B8" w:rsidRDefault="00702C16" w:rsidP="0059752F">
      <w:pPr>
        <w:pStyle w:val="BodyText"/>
        <w:jc w:val="both"/>
        <w:rPr>
          <w:rFonts w:ascii="Aptos" w:hAnsi="Aptos" w:cs="Arial"/>
          <w:sz w:val="22"/>
          <w:szCs w:val="22"/>
          <w:u w:val="single"/>
        </w:rPr>
      </w:pPr>
    </w:p>
    <w:p w14:paraId="16827AA1" w14:textId="77777777" w:rsidR="00232AA9" w:rsidRPr="005C36B8" w:rsidRDefault="00232AA9" w:rsidP="0059752F">
      <w:pPr>
        <w:pStyle w:val="BodyText"/>
        <w:jc w:val="both"/>
        <w:rPr>
          <w:rFonts w:ascii="Aptos" w:hAnsi="Aptos" w:cs="Arial"/>
          <w:sz w:val="22"/>
          <w:szCs w:val="22"/>
          <w:u w:val="single"/>
        </w:rPr>
      </w:pPr>
    </w:p>
    <w:p w14:paraId="7E3E9AF5" w14:textId="77777777" w:rsidR="00232AA9" w:rsidRPr="00C15EF8" w:rsidRDefault="00232AA9" w:rsidP="0059752F">
      <w:pPr>
        <w:pStyle w:val="BodyText"/>
        <w:jc w:val="both"/>
        <w:rPr>
          <w:rFonts w:ascii="Aptos" w:hAnsi="Aptos" w:cs="Arial"/>
          <w:sz w:val="22"/>
          <w:szCs w:val="22"/>
          <w:u w:val="single"/>
        </w:rPr>
      </w:pPr>
    </w:p>
    <w:p w14:paraId="5E6C125E" w14:textId="1AB48241" w:rsidR="00523CBB" w:rsidRPr="00C15EF8" w:rsidRDefault="00523CBB" w:rsidP="007C7252">
      <w:pPr>
        <w:pStyle w:val="BodyText"/>
        <w:keepNext/>
        <w:spacing w:line="276" w:lineRule="auto"/>
        <w:jc w:val="center"/>
        <w:rPr>
          <w:rFonts w:ascii="Aptos" w:hAnsi="Aptos" w:cs="Arial"/>
          <w:i/>
          <w:iCs/>
          <w:sz w:val="22"/>
          <w:szCs w:val="22"/>
          <w:u w:val="single"/>
        </w:rPr>
      </w:pPr>
      <w:r w:rsidRPr="00C15EF8">
        <w:rPr>
          <w:rFonts w:ascii="Aptos" w:hAnsi="Aptos" w:cs="Arial"/>
          <w:i/>
          <w:iCs/>
          <w:sz w:val="22"/>
          <w:szCs w:val="22"/>
          <w:u w:val="single"/>
        </w:rPr>
        <w:lastRenderedPageBreak/>
        <w:t xml:space="preserve">Table 2: </w:t>
      </w:r>
      <w:r w:rsidR="004A0956" w:rsidRPr="00C15EF8">
        <w:rPr>
          <w:rFonts w:ascii="Aptos" w:hAnsi="Aptos" w:cs="Arial"/>
          <w:i/>
          <w:iCs/>
          <w:sz w:val="22"/>
          <w:szCs w:val="22"/>
          <w:u w:val="single"/>
        </w:rPr>
        <w:t>Sensitivity</w:t>
      </w:r>
      <w:r w:rsidR="00916A48" w:rsidRPr="00C15EF8">
        <w:rPr>
          <w:rFonts w:ascii="Aptos" w:hAnsi="Aptos" w:cs="Arial"/>
          <w:i/>
          <w:iCs/>
          <w:sz w:val="22"/>
          <w:szCs w:val="22"/>
          <w:u w:val="single"/>
        </w:rPr>
        <w:t xml:space="preserve"> Summary</w:t>
      </w:r>
      <w:r w:rsidR="009F7CF7">
        <w:rPr>
          <w:rStyle w:val="FootnoteReference"/>
          <w:rFonts w:ascii="Aptos" w:hAnsi="Aptos" w:cs="Arial"/>
          <w:i/>
          <w:iCs/>
          <w:sz w:val="22"/>
          <w:szCs w:val="22"/>
          <w:u w:val="single"/>
        </w:rPr>
        <w:footnoteReference w:id="5"/>
      </w:r>
    </w:p>
    <w:tbl>
      <w:tblPr>
        <w:tblW w:w="9352"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86"/>
        <w:gridCol w:w="2096"/>
        <w:gridCol w:w="6570"/>
      </w:tblGrid>
      <w:tr w:rsidR="005C060E" w:rsidRPr="00C15EF8" w14:paraId="30EB9BD1" w14:textId="77777777" w:rsidTr="00331B02">
        <w:trPr>
          <w:trHeight w:val="420"/>
        </w:trPr>
        <w:tc>
          <w:tcPr>
            <w:tcW w:w="686" w:type="dxa"/>
            <w:tcBorders>
              <w:top w:val="single" w:sz="6" w:space="0" w:color="000000" w:themeColor="text1"/>
              <w:left w:val="single" w:sz="6" w:space="0" w:color="000000" w:themeColor="text1"/>
              <w:bottom w:val="single" w:sz="4" w:space="0" w:color="auto"/>
              <w:right w:val="single" w:sz="4" w:space="0" w:color="auto"/>
            </w:tcBorders>
            <w:shd w:val="clear" w:color="auto" w:fill="4F81BD" w:themeFill="accent1"/>
            <w:vAlign w:val="center"/>
            <w:hideMark/>
          </w:tcPr>
          <w:p w14:paraId="33C2FAB5" w14:textId="77777777" w:rsidR="00D64F17" w:rsidRPr="008F63F9" w:rsidRDefault="00D64F17" w:rsidP="00F9524C">
            <w:pPr>
              <w:keepNext/>
              <w:keepLines/>
              <w:jc w:val="center"/>
              <w:rPr>
                <w:rFonts w:ascii="Aptos" w:hAnsi="Aptos"/>
                <w:b/>
                <w:sz w:val="22"/>
                <w:szCs w:val="22"/>
              </w:rPr>
            </w:pPr>
          </w:p>
        </w:tc>
        <w:tc>
          <w:tcPr>
            <w:tcW w:w="2096" w:type="dxa"/>
            <w:tcBorders>
              <w:top w:val="single" w:sz="6" w:space="0" w:color="000000" w:themeColor="text1"/>
              <w:left w:val="single" w:sz="4" w:space="0" w:color="auto"/>
              <w:bottom w:val="single" w:sz="4" w:space="0" w:color="auto"/>
              <w:right w:val="single" w:sz="4" w:space="0" w:color="auto"/>
            </w:tcBorders>
            <w:shd w:val="clear" w:color="auto" w:fill="4F81BD" w:themeFill="accent1"/>
            <w:vAlign w:val="center"/>
            <w:hideMark/>
          </w:tcPr>
          <w:p w14:paraId="5A18B124" w14:textId="6BAF3BE1" w:rsidR="00D64F17" w:rsidRPr="008F63F9" w:rsidRDefault="00AA2567">
            <w:pPr>
              <w:keepNext/>
              <w:keepLines/>
              <w:ind w:left="118"/>
              <w:rPr>
                <w:rFonts w:ascii="Aptos" w:hAnsi="Aptos"/>
                <w:b/>
                <w:sz w:val="22"/>
                <w:szCs w:val="22"/>
              </w:rPr>
            </w:pPr>
            <w:r>
              <w:rPr>
                <w:rFonts w:ascii="Aptos" w:hAnsi="Aptos"/>
                <w:b/>
                <w:color w:val="FFFFFF" w:themeColor="background1"/>
                <w:sz w:val="22"/>
                <w:szCs w:val="22"/>
              </w:rPr>
              <w:t xml:space="preserve">Required </w:t>
            </w:r>
            <w:r w:rsidR="00AC57BC">
              <w:rPr>
                <w:rFonts w:ascii="Aptos" w:hAnsi="Aptos"/>
                <w:b/>
                <w:color w:val="FFFFFF" w:themeColor="background1"/>
                <w:sz w:val="22"/>
                <w:szCs w:val="22"/>
              </w:rPr>
              <w:t>Analysis</w:t>
            </w:r>
          </w:p>
        </w:tc>
        <w:tc>
          <w:tcPr>
            <w:tcW w:w="6570" w:type="dxa"/>
            <w:tcBorders>
              <w:top w:val="single" w:sz="6" w:space="0" w:color="000000" w:themeColor="text1"/>
              <w:left w:val="single" w:sz="4" w:space="0" w:color="auto"/>
              <w:bottom w:val="single" w:sz="4" w:space="0" w:color="auto"/>
              <w:right w:val="single" w:sz="6" w:space="0" w:color="000000" w:themeColor="text1"/>
            </w:tcBorders>
            <w:shd w:val="clear" w:color="auto" w:fill="4F81BD" w:themeFill="accent1"/>
            <w:vAlign w:val="center"/>
            <w:hideMark/>
          </w:tcPr>
          <w:p w14:paraId="0050A58C" w14:textId="4BA5FC2F" w:rsidR="00D64F17" w:rsidRPr="008F63F9" w:rsidRDefault="00414697">
            <w:pPr>
              <w:keepNext/>
              <w:keepLines/>
              <w:ind w:left="89"/>
              <w:rPr>
                <w:rFonts w:ascii="Aptos" w:hAnsi="Aptos"/>
                <w:b/>
                <w:sz w:val="22"/>
                <w:szCs w:val="22"/>
              </w:rPr>
            </w:pPr>
            <w:r>
              <w:rPr>
                <w:rFonts w:ascii="Aptos" w:hAnsi="Aptos"/>
                <w:b/>
                <w:color w:val="FFFFFF" w:themeColor="background1"/>
                <w:sz w:val="22"/>
                <w:szCs w:val="22"/>
              </w:rPr>
              <w:t xml:space="preserve">Applicable </w:t>
            </w:r>
            <w:r w:rsidR="00AC57BC">
              <w:rPr>
                <w:rFonts w:ascii="Aptos" w:hAnsi="Aptos"/>
                <w:b/>
                <w:color w:val="FFFFFF" w:themeColor="background1"/>
                <w:sz w:val="22"/>
                <w:szCs w:val="22"/>
              </w:rPr>
              <w:t>Sensitivities</w:t>
            </w:r>
          </w:p>
        </w:tc>
      </w:tr>
      <w:tr w:rsidR="00D64F17" w:rsidRPr="00C15EF8" w14:paraId="00D4DE94" w14:textId="77777777" w:rsidTr="00331B02">
        <w:trPr>
          <w:trHeight w:val="1005"/>
        </w:trPr>
        <w:tc>
          <w:tcPr>
            <w:tcW w:w="686" w:type="dxa"/>
            <w:tcBorders>
              <w:top w:val="single" w:sz="4" w:space="0" w:color="auto"/>
              <w:left w:val="single" w:sz="6" w:space="0" w:color="666666"/>
              <w:bottom w:val="single" w:sz="4" w:space="0" w:color="auto"/>
              <w:right w:val="single" w:sz="4" w:space="0" w:color="auto"/>
            </w:tcBorders>
            <w:shd w:val="clear" w:color="auto" w:fill="auto"/>
            <w:vAlign w:val="center"/>
            <w:hideMark/>
          </w:tcPr>
          <w:p w14:paraId="59C55DFE" w14:textId="77777777" w:rsidR="00D64F17" w:rsidRPr="008F63F9" w:rsidRDefault="00D64F17" w:rsidP="00F9524C">
            <w:pPr>
              <w:keepNext/>
              <w:keepLines/>
              <w:jc w:val="center"/>
              <w:rPr>
                <w:rFonts w:ascii="Aptos" w:hAnsi="Aptos"/>
                <w:b/>
                <w:sz w:val="22"/>
                <w:szCs w:val="22"/>
              </w:rPr>
            </w:pPr>
            <w:r w:rsidRPr="008F63F9">
              <w:rPr>
                <w:rFonts w:ascii="Aptos" w:hAnsi="Aptos"/>
                <w:b/>
                <w:sz w:val="22"/>
                <w:szCs w:val="22"/>
              </w:rPr>
              <w:t>1</w:t>
            </w:r>
          </w:p>
        </w:tc>
        <w:tc>
          <w:tcPr>
            <w:tcW w:w="209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3B3C2ED" w14:textId="77777777" w:rsidR="00D64F17" w:rsidRPr="008F63F9" w:rsidRDefault="00D64F17">
            <w:pPr>
              <w:keepNext/>
              <w:keepLines/>
              <w:ind w:left="118"/>
              <w:rPr>
                <w:rFonts w:ascii="Aptos" w:hAnsi="Aptos"/>
                <w:sz w:val="22"/>
                <w:szCs w:val="22"/>
              </w:rPr>
            </w:pPr>
            <w:r w:rsidRPr="008F63F9">
              <w:rPr>
                <w:rFonts w:ascii="Aptos" w:hAnsi="Aptos"/>
                <w:sz w:val="22"/>
                <w:szCs w:val="22"/>
              </w:rPr>
              <w:t>Forecast of load</w:t>
            </w:r>
          </w:p>
        </w:tc>
        <w:tc>
          <w:tcPr>
            <w:tcW w:w="6570" w:type="dxa"/>
            <w:tcBorders>
              <w:top w:val="single" w:sz="4" w:space="0" w:color="auto"/>
              <w:left w:val="single" w:sz="4" w:space="0" w:color="auto"/>
              <w:bottom w:val="single" w:sz="4" w:space="0" w:color="auto"/>
              <w:right w:val="single" w:sz="6" w:space="0" w:color="666666"/>
            </w:tcBorders>
            <w:shd w:val="clear" w:color="auto" w:fill="auto"/>
            <w:vAlign w:val="center"/>
            <w:hideMark/>
          </w:tcPr>
          <w:p w14:paraId="2249B5EC" w14:textId="77777777" w:rsidR="00D64F17" w:rsidRPr="008F63F9" w:rsidRDefault="00D64F17">
            <w:pPr>
              <w:keepNext/>
              <w:keepLines/>
              <w:ind w:left="87"/>
              <w:rPr>
                <w:rFonts w:ascii="Aptos" w:hAnsi="Aptos"/>
                <w:sz w:val="22"/>
                <w:szCs w:val="22"/>
              </w:rPr>
            </w:pPr>
            <w:r w:rsidRPr="008F63F9">
              <w:rPr>
                <w:rFonts w:ascii="Aptos" w:hAnsi="Aptos"/>
                <w:sz w:val="22"/>
                <w:szCs w:val="22"/>
              </w:rPr>
              <w:t>The Company considers a range of load forecasts in Sensitivities 0-10.</w:t>
            </w:r>
          </w:p>
        </w:tc>
      </w:tr>
      <w:tr w:rsidR="00D64F17" w:rsidRPr="00C15EF8" w14:paraId="49255E7B" w14:textId="77777777" w:rsidTr="00331B02">
        <w:trPr>
          <w:trHeight w:val="710"/>
        </w:trPr>
        <w:tc>
          <w:tcPr>
            <w:tcW w:w="686" w:type="dxa"/>
            <w:tcBorders>
              <w:top w:val="single" w:sz="4" w:space="0" w:color="auto"/>
              <w:left w:val="single" w:sz="6" w:space="0" w:color="666666"/>
              <w:bottom w:val="single" w:sz="4" w:space="0" w:color="auto"/>
              <w:right w:val="single" w:sz="4" w:space="0" w:color="auto"/>
            </w:tcBorders>
            <w:shd w:val="clear" w:color="auto" w:fill="auto"/>
            <w:vAlign w:val="center"/>
            <w:hideMark/>
          </w:tcPr>
          <w:p w14:paraId="016B7DF4" w14:textId="77777777" w:rsidR="00D64F17" w:rsidRPr="008F63F9" w:rsidRDefault="00D64F17" w:rsidP="00F9524C">
            <w:pPr>
              <w:keepNext/>
              <w:keepLines/>
              <w:jc w:val="center"/>
              <w:rPr>
                <w:rFonts w:ascii="Aptos" w:hAnsi="Aptos"/>
                <w:b/>
                <w:sz w:val="22"/>
                <w:szCs w:val="22"/>
              </w:rPr>
            </w:pPr>
            <w:r w:rsidRPr="008F63F9">
              <w:rPr>
                <w:rFonts w:ascii="Aptos" w:hAnsi="Aptos"/>
                <w:b/>
                <w:sz w:val="22"/>
                <w:szCs w:val="22"/>
              </w:rPr>
              <w:t>2</w:t>
            </w:r>
          </w:p>
        </w:tc>
        <w:tc>
          <w:tcPr>
            <w:tcW w:w="209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3CBB73C" w14:textId="77777777" w:rsidR="00D64F17" w:rsidRPr="008F63F9" w:rsidRDefault="00D64F17">
            <w:pPr>
              <w:keepNext/>
              <w:keepLines/>
              <w:ind w:left="118"/>
              <w:rPr>
                <w:rFonts w:ascii="Aptos" w:hAnsi="Aptos"/>
                <w:sz w:val="22"/>
                <w:szCs w:val="22"/>
              </w:rPr>
            </w:pPr>
            <w:r w:rsidRPr="008F63F9">
              <w:rPr>
                <w:rFonts w:ascii="Aptos" w:hAnsi="Aptos"/>
                <w:sz w:val="22"/>
                <w:szCs w:val="22"/>
              </w:rPr>
              <w:t>In-service dates of supply and demand resources</w:t>
            </w:r>
          </w:p>
        </w:tc>
        <w:tc>
          <w:tcPr>
            <w:tcW w:w="6570" w:type="dxa"/>
            <w:tcBorders>
              <w:top w:val="single" w:sz="4" w:space="0" w:color="auto"/>
              <w:left w:val="single" w:sz="4" w:space="0" w:color="auto"/>
              <w:bottom w:val="single" w:sz="4" w:space="0" w:color="auto"/>
              <w:right w:val="single" w:sz="6" w:space="0" w:color="666666"/>
            </w:tcBorders>
            <w:shd w:val="clear" w:color="auto" w:fill="auto"/>
            <w:vAlign w:val="center"/>
            <w:hideMark/>
          </w:tcPr>
          <w:p w14:paraId="0941439D" w14:textId="77777777" w:rsidR="00D64F17" w:rsidRPr="008F63F9" w:rsidRDefault="00D64F17">
            <w:pPr>
              <w:keepNext/>
              <w:keepLines/>
              <w:ind w:left="87"/>
              <w:rPr>
                <w:rFonts w:ascii="Aptos" w:hAnsi="Aptos"/>
                <w:sz w:val="22"/>
                <w:szCs w:val="22"/>
              </w:rPr>
            </w:pPr>
            <w:r w:rsidRPr="008F63F9">
              <w:rPr>
                <w:rFonts w:ascii="Aptos" w:hAnsi="Aptos"/>
                <w:sz w:val="22"/>
                <w:szCs w:val="22"/>
              </w:rPr>
              <w:t>Sensitivities 0-9 evaluate the impacts of varying in-service dates and amounts of supply and demand resources through the scenario planning cases. These sensitivities produce separate evaluations of the impacts on the load and energy forecasts, which include effects from demand-side programs and new supply-side resources.</w:t>
            </w:r>
          </w:p>
          <w:p w14:paraId="27CB9BD1" w14:textId="77777777" w:rsidR="00D64F17" w:rsidRPr="008F63F9" w:rsidRDefault="00D64F17">
            <w:pPr>
              <w:keepNext/>
              <w:keepLines/>
              <w:ind w:left="87"/>
              <w:rPr>
                <w:rFonts w:ascii="Aptos" w:hAnsi="Aptos"/>
                <w:sz w:val="22"/>
                <w:szCs w:val="22"/>
              </w:rPr>
            </w:pPr>
            <w:r w:rsidRPr="008F63F9">
              <w:rPr>
                <w:rFonts w:ascii="Aptos" w:hAnsi="Aptos"/>
                <w:sz w:val="22"/>
                <w:szCs w:val="22"/>
              </w:rPr>
              <w:t>Sensitivities 10 and 11 evaluate differing levels of demand-side programs.</w:t>
            </w:r>
          </w:p>
        </w:tc>
      </w:tr>
      <w:tr w:rsidR="00D64F17" w:rsidRPr="00C15EF8" w14:paraId="77C803DC" w14:textId="77777777" w:rsidTr="00331B02">
        <w:trPr>
          <w:trHeight w:val="1005"/>
        </w:trPr>
        <w:tc>
          <w:tcPr>
            <w:tcW w:w="686" w:type="dxa"/>
            <w:tcBorders>
              <w:top w:val="single" w:sz="4" w:space="0" w:color="auto"/>
              <w:left w:val="single" w:sz="6" w:space="0" w:color="666666"/>
              <w:bottom w:val="single" w:sz="4" w:space="0" w:color="auto"/>
              <w:right w:val="single" w:sz="4" w:space="0" w:color="auto"/>
            </w:tcBorders>
            <w:shd w:val="clear" w:color="auto" w:fill="auto"/>
            <w:vAlign w:val="center"/>
            <w:hideMark/>
          </w:tcPr>
          <w:p w14:paraId="39A663B2" w14:textId="77777777" w:rsidR="00D64F17" w:rsidRPr="008F63F9" w:rsidRDefault="00D64F17" w:rsidP="00F9524C">
            <w:pPr>
              <w:keepNext/>
              <w:keepLines/>
              <w:jc w:val="center"/>
              <w:rPr>
                <w:rFonts w:ascii="Aptos" w:hAnsi="Aptos"/>
                <w:b/>
                <w:sz w:val="22"/>
                <w:szCs w:val="22"/>
              </w:rPr>
            </w:pPr>
            <w:r w:rsidRPr="008F63F9">
              <w:rPr>
                <w:rFonts w:ascii="Aptos" w:hAnsi="Aptos"/>
                <w:b/>
                <w:sz w:val="22"/>
                <w:szCs w:val="22"/>
              </w:rPr>
              <w:t>3</w:t>
            </w:r>
          </w:p>
        </w:tc>
        <w:tc>
          <w:tcPr>
            <w:tcW w:w="209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F4B7F14" w14:textId="77777777" w:rsidR="00D64F17" w:rsidRPr="008F63F9" w:rsidRDefault="00D64F17">
            <w:pPr>
              <w:keepNext/>
              <w:keepLines/>
              <w:ind w:left="118"/>
              <w:rPr>
                <w:rFonts w:ascii="Aptos" w:hAnsi="Aptos"/>
                <w:sz w:val="22"/>
                <w:szCs w:val="22"/>
              </w:rPr>
            </w:pPr>
            <w:r w:rsidRPr="008F63F9">
              <w:rPr>
                <w:rFonts w:ascii="Aptos" w:hAnsi="Aptos"/>
                <w:sz w:val="22"/>
                <w:szCs w:val="22"/>
              </w:rPr>
              <w:t>Unit availability</w:t>
            </w:r>
          </w:p>
        </w:tc>
        <w:tc>
          <w:tcPr>
            <w:tcW w:w="6570" w:type="dxa"/>
            <w:tcBorders>
              <w:top w:val="single" w:sz="4" w:space="0" w:color="auto"/>
              <w:left w:val="single" w:sz="4" w:space="0" w:color="auto"/>
              <w:bottom w:val="single" w:sz="4" w:space="0" w:color="auto"/>
              <w:right w:val="single" w:sz="6" w:space="0" w:color="666666"/>
            </w:tcBorders>
            <w:shd w:val="clear" w:color="auto" w:fill="auto"/>
            <w:vAlign w:val="center"/>
            <w:hideMark/>
          </w:tcPr>
          <w:p w14:paraId="4E56ECD2" w14:textId="77777777" w:rsidR="00D64F17" w:rsidRPr="008F63F9" w:rsidRDefault="00D64F17">
            <w:pPr>
              <w:keepNext/>
              <w:keepLines/>
              <w:ind w:left="87"/>
              <w:rPr>
                <w:rFonts w:ascii="Aptos" w:hAnsi="Aptos"/>
                <w:sz w:val="22"/>
                <w:szCs w:val="22"/>
              </w:rPr>
            </w:pPr>
            <w:r w:rsidRPr="008F63F9">
              <w:rPr>
                <w:rFonts w:ascii="Aptos" w:hAnsi="Aptos"/>
                <w:sz w:val="22"/>
                <w:szCs w:val="22"/>
              </w:rPr>
              <w:t>Sensitivities 0-11 evaluate the impacts of varying in-service dates and amounts of supply and demand resources through the scenario planning cases. Additionally, the Reserve Margin Study evaluates unit outages.</w:t>
            </w:r>
          </w:p>
        </w:tc>
      </w:tr>
      <w:tr w:rsidR="00D64F17" w:rsidRPr="00C15EF8" w14:paraId="372A46FA" w14:textId="77777777" w:rsidTr="00331B02">
        <w:trPr>
          <w:trHeight w:val="1005"/>
        </w:trPr>
        <w:tc>
          <w:tcPr>
            <w:tcW w:w="686" w:type="dxa"/>
            <w:tcBorders>
              <w:top w:val="single" w:sz="4" w:space="0" w:color="auto"/>
              <w:left w:val="single" w:sz="6" w:space="0" w:color="666666"/>
              <w:bottom w:val="single" w:sz="4" w:space="0" w:color="auto"/>
              <w:right w:val="single" w:sz="4" w:space="0" w:color="auto"/>
            </w:tcBorders>
            <w:shd w:val="clear" w:color="auto" w:fill="auto"/>
            <w:vAlign w:val="center"/>
            <w:hideMark/>
          </w:tcPr>
          <w:p w14:paraId="4F490B61" w14:textId="77777777" w:rsidR="00D64F17" w:rsidRPr="008F63F9" w:rsidRDefault="00D64F17" w:rsidP="00F9524C">
            <w:pPr>
              <w:keepNext/>
              <w:keepLines/>
              <w:jc w:val="center"/>
              <w:rPr>
                <w:rFonts w:ascii="Aptos" w:hAnsi="Aptos"/>
                <w:b/>
                <w:sz w:val="22"/>
                <w:szCs w:val="22"/>
              </w:rPr>
            </w:pPr>
            <w:r w:rsidRPr="008F63F9">
              <w:rPr>
                <w:rFonts w:ascii="Aptos" w:hAnsi="Aptos"/>
                <w:b/>
                <w:sz w:val="22"/>
                <w:szCs w:val="22"/>
              </w:rPr>
              <w:t>4</w:t>
            </w:r>
          </w:p>
        </w:tc>
        <w:tc>
          <w:tcPr>
            <w:tcW w:w="209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04656D7" w14:textId="77777777" w:rsidR="00D64F17" w:rsidRPr="008F63F9" w:rsidRDefault="00D64F17">
            <w:pPr>
              <w:keepNext/>
              <w:keepLines/>
              <w:ind w:left="118"/>
              <w:rPr>
                <w:rFonts w:ascii="Aptos" w:hAnsi="Aptos"/>
                <w:sz w:val="22"/>
                <w:szCs w:val="22"/>
              </w:rPr>
            </w:pPr>
            <w:r w:rsidRPr="008F63F9">
              <w:rPr>
                <w:rFonts w:ascii="Aptos" w:hAnsi="Aptos"/>
                <w:sz w:val="22"/>
                <w:szCs w:val="22"/>
              </w:rPr>
              <w:t>Fuel prices</w:t>
            </w:r>
          </w:p>
        </w:tc>
        <w:tc>
          <w:tcPr>
            <w:tcW w:w="6570" w:type="dxa"/>
            <w:tcBorders>
              <w:top w:val="single" w:sz="4" w:space="0" w:color="auto"/>
              <w:left w:val="single" w:sz="4" w:space="0" w:color="auto"/>
              <w:bottom w:val="single" w:sz="4" w:space="0" w:color="auto"/>
              <w:right w:val="single" w:sz="6" w:space="0" w:color="666666"/>
            </w:tcBorders>
            <w:shd w:val="clear" w:color="auto" w:fill="auto"/>
            <w:vAlign w:val="center"/>
            <w:hideMark/>
          </w:tcPr>
          <w:p w14:paraId="657E3E56" w14:textId="77777777" w:rsidR="00D64F17" w:rsidRPr="008F63F9" w:rsidRDefault="00D64F17">
            <w:pPr>
              <w:keepNext/>
              <w:keepLines/>
              <w:ind w:left="87"/>
              <w:rPr>
                <w:rFonts w:ascii="Aptos" w:hAnsi="Aptos"/>
                <w:sz w:val="22"/>
                <w:szCs w:val="22"/>
              </w:rPr>
            </w:pPr>
            <w:r w:rsidRPr="008F63F9">
              <w:rPr>
                <w:rFonts w:ascii="Aptos" w:hAnsi="Aptos"/>
                <w:sz w:val="22"/>
                <w:szCs w:val="22"/>
              </w:rPr>
              <w:t>Sensitivities 0-8 evaluate the impacts of fuel prices through the scenario planning cases which have three separate fuel price environments and resulting forecasts combined with varying estimates of carbon prices.</w:t>
            </w:r>
          </w:p>
        </w:tc>
      </w:tr>
      <w:tr w:rsidR="00D64F17" w:rsidRPr="00C15EF8" w14:paraId="68A124E6" w14:textId="77777777" w:rsidTr="00331B02">
        <w:trPr>
          <w:trHeight w:val="1005"/>
        </w:trPr>
        <w:tc>
          <w:tcPr>
            <w:tcW w:w="686" w:type="dxa"/>
            <w:tcBorders>
              <w:top w:val="single" w:sz="4" w:space="0" w:color="auto"/>
              <w:left w:val="single" w:sz="6" w:space="0" w:color="666666"/>
              <w:bottom w:val="single" w:sz="4" w:space="0" w:color="auto"/>
              <w:right w:val="single" w:sz="4" w:space="0" w:color="auto"/>
            </w:tcBorders>
            <w:shd w:val="clear" w:color="auto" w:fill="auto"/>
            <w:vAlign w:val="center"/>
            <w:hideMark/>
          </w:tcPr>
          <w:p w14:paraId="6BF1C793" w14:textId="77777777" w:rsidR="00D64F17" w:rsidRPr="008F63F9" w:rsidRDefault="00D64F17" w:rsidP="00F9524C">
            <w:pPr>
              <w:keepNext/>
              <w:keepLines/>
              <w:jc w:val="center"/>
              <w:rPr>
                <w:rFonts w:ascii="Aptos" w:hAnsi="Aptos"/>
                <w:b/>
                <w:sz w:val="22"/>
                <w:szCs w:val="22"/>
              </w:rPr>
            </w:pPr>
            <w:r w:rsidRPr="008F63F9">
              <w:rPr>
                <w:rFonts w:ascii="Aptos" w:hAnsi="Aptos"/>
                <w:b/>
                <w:sz w:val="22"/>
                <w:szCs w:val="22"/>
              </w:rPr>
              <w:t>5</w:t>
            </w:r>
          </w:p>
        </w:tc>
        <w:tc>
          <w:tcPr>
            <w:tcW w:w="209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5823BAD" w14:textId="77777777" w:rsidR="00D64F17" w:rsidRPr="008F63F9" w:rsidRDefault="00D64F17">
            <w:pPr>
              <w:keepNext/>
              <w:keepLines/>
              <w:ind w:left="118"/>
              <w:rPr>
                <w:rFonts w:ascii="Aptos" w:hAnsi="Aptos"/>
                <w:sz w:val="22"/>
                <w:szCs w:val="22"/>
              </w:rPr>
            </w:pPr>
            <w:r w:rsidRPr="008F63F9">
              <w:rPr>
                <w:rFonts w:ascii="Aptos" w:hAnsi="Aptos"/>
                <w:sz w:val="22"/>
                <w:szCs w:val="22"/>
              </w:rPr>
              <w:t>Inflation in plant construction costs and costs of capital</w:t>
            </w:r>
          </w:p>
        </w:tc>
        <w:tc>
          <w:tcPr>
            <w:tcW w:w="6570" w:type="dxa"/>
            <w:tcBorders>
              <w:top w:val="single" w:sz="4" w:space="0" w:color="auto"/>
              <w:left w:val="single" w:sz="4" w:space="0" w:color="auto"/>
              <w:bottom w:val="single" w:sz="4" w:space="0" w:color="auto"/>
              <w:right w:val="single" w:sz="6" w:space="0" w:color="666666"/>
            </w:tcBorders>
            <w:shd w:val="clear" w:color="auto" w:fill="auto"/>
            <w:vAlign w:val="center"/>
            <w:hideMark/>
          </w:tcPr>
          <w:p w14:paraId="60383DA1" w14:textId="77777777" w:rsidR="00D64F17" w:rsidRPr="008F63F9" w:rsidRDefault="00D64F17">
            <w:pPr>
              <w:keepNext/>
              <w:keepLines/>
              <w:ind w:left="87"/>
              <w:rPr>
                <w:rFonts w:ascii="Aptos" w:hAnsi="Aptos"/>
                <w:sz w:val="22"/>
                <w:szCs w:val="22"/>
              </w:rPr>
            </w:pPr>
            <w:r w:rsidRPr="008F63F9">
              <w:rPr>
                <w:rFonts w:ascii="Aptos" w:hAnsi="Aptos"/>
                <w:sz w:val="22"/>
                <w:szCs w:val="22"/>
              </w:rPr>
              <w:t>Sensitivities 0-11 evaluate higher and lower costs of carbon-free technologies by varying the phase out year for the IRA. These alternative costs could be representative of inflation in plant construction costs and cost of capital.</w:t>
            </w:r>
          </w:p>
        </w:tc>
      </w:tr>
      <w:tr w:rsidR="00D64F17" w:rsidRPr="00C15EF8" w14:paraId="60CA9D19" w14:textId="77777777" w:rsidTr="00331B02">
        <w:trPr>
          <w:trHeight w:val="1005"/>
        </w:trPr>
        <w:tc>
          <w:tcPr>
            <w:tcW w:w="686" w:type="dxa"/>
            <w:tcBorders>
              <w:top w:val="single" w:sz="4" w:space="0" w:color="auto"/>
              <w:left w:val="single" w:sz="6" w:space="0" w:color="666666"/>
              <w:bottom w:val="single" w:sz="4" w:space="0" w:color="auto"/>
              <w:right w:val="single" w:sz="4" w:space="0" w:color="auto"/>
            </w:tcBorders>
            <w:shd w:val="clear" w:color="auto" w:fill="auto"/>
            <w:vAlign w:val="center"/>
            <w:hideMark/>
          </w:tcPr>
          <w:p w14:paraId="09117C7A" w14:textId="77777777" w:rsidR="00D64F17" w:rsidRPr="008F63F9" w:rsidRDefault="00D64F17" w:rsidP="00F9524C">
            <w:pPr>
              <w:keepNext/>
              <w:keepLines/>
              <w:jc w:val="center"/>
              <w:rPr>
                <w:rFonts w:ascii="Aptos" w:hAnsi="Aptos"/>
                <w:b/>
                <w:sz w:val="22"/>
                <w:szCs w:val="22"/>
              </w:rPr>
            </w:pPr>
            <w:r w:rsidRPr="008F63F9">
              <w:rPr>
                <w:rFonts w:ascii="Aptos" w:hAnsi="Aptos"/>
                <w:b/>
                <w:sz w:val="22"/>
                <w:szCs w:val="22"/>
              </w:rPr>
              <w:t>6</w:t>
            </w:r>
          </w:p>
        </w:tc>
        <w:tc>
          <w:tcPr>
            <w:tcW w:w="209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EE0FD87" w14:textId="77777777" w:rsidR="00D64F17" w:rsidRPr="008F63F9" w:rsidRDefault="00D64F17">
            <w:pPr>
              <w:keepNext/>
              <w:keepLines/>
              <w:ind w:left="118"/>
              <w:rPr>
                <w:rFonts w:ascii="Aptos" w:hAnsi="Aptos"/>
                <w:sz w:val="22"/>
                <w:szCs w:val="22"/>
              </w:rPr>
            </w:pPr>
            <w:r w:rsidRPr="008F63F9">
              <w:rPr>
                <w:rFonts w:ascii="Aptos" w:hAnsi="Aptos"/>
                <w:sz w:val="22"/>
                <w:szCs w:val="22"/>
              </w:rPr>
              <w:t>Availability and costs of purchased power</w:t>
            </w:r>
          </w:p>
        </w:tc>
        <w:tc>
          <w:tcPr>
            <w:tcW w:w="6570" w:type="dxa"/>
            <w:tcBorders>
              <w:top w:val="single" w:sz="4" w:space="0" w:color="auto"/>
              <w:left w:val="single" w:sz="4" w:space="0" w:color="auto"/>
              <w:bottom w:val="single" w:sz="4" w:space="0" w:color="auto"/>
              <w:right w:val="single" w:sz="6" w:space="0" w:color="666666"/>
            </w:tcBorders>
            <w:shd w:val="clear" w:color="auto" w:fill="auto"/>
            <w:vAlign w:val="center"/>
            <w:hideMark/>
          </w:tcPr>
          <w:p w14:paraId="186B2080" w14:textId="73A7279D" w:rsidR="00D64F17" w:rsidRPr="008F63F9" w:rsidRDefault="00D64F17">
            <w:pPr>
              <w:keepNext/>
              <w:keepLines/>
              <w:ind w:left="87"/>
              <w:rPr>
                <w:rFonts w:ascii="Aptos" w:hAnsi="Aptos"/>
                <w:sz w:val="22"/>
                <w:szCs w:val="22"/>
              </w:rPr>
            </w:pPr>
            <w:r w:rsidRPr="008F63F9">
              <w:rPr>
                <w:rFonts w:ascii="Aptos" w:hAnsi="Aptos"/>
                <w:sz w:val="22"/>
                <w:szCs w:val="22"/>
              </w:rPr>
              <w:t>Sensitivity 12 evaluates the impacts of differing availability and cost of purchased power.</w:t>
            </w:r>
          </w:p>
        </w:tc>
      </w:tr>
      <w:tr w:rsidR="00D64F17" w:rsidRPr="00C15EF8" w14:paraId="2BA48D61" w14:textId="77777777" w:rsidTr="00331B02">
        <w:trPr>
          <w:trHeight w:val="1005"/>
        </w:trPr>
        <w:tc>
          <w:tcPr>
            <w:tcW w:w="686" w:type="dxa"/>
            <w:tcBorders>
              <w:top w:val="single" w:sz="4" w:space="0" w:color="auto"/>
              <w:left w:val="single" w:sz="6" w:space="0" w:color="666666"/>
              <w:bottom w:val="single" w:sz="4" w:space="0" w:color="auto"/>
              <w:right w:val="single" w:sz="4" w:space="0" w:color="auto"/>
            </w:tcBorders>
            <w:shd w:val="clear" w:color="auto" w:fill="auto"/>
            <w:vAlign w:val="center"/>
            <w:hideMark/>
          </w:tcPr>
          <w:p w14:paraId="57F9B6AD" w14:textId="77777777" w:rsidR="00D64F17" w:rsidRPr="008F63F9" w:rsidRDefault="00D64F17" w:rsidP="00F9524C">
            <w:pPr>
              <w:keepNext/>
              <w:keepLines/>
              <w:jc w:val="center"/>
              <w:rPr>
                <w:rFonts w:ascii="Aptos" w:hAnsi="Aptos"/>
                <w:b/>
                <w:sz w:val="22"/>
                <w:szCs w:val="22"/>
              </w:rPr>
            </w:pPr>
            <w:r w:rsidRPr="008F63F9">
              <w:rPr>
                <w:rFonts w:ascii="Aptos" w:hAnsi="Aptos"/>
                <w:b/>
                <w:sz w:val="22"/>
                <w:szCs w:val="22"/>
              </w:rPr>
              <w:t>7</w:t>
            </w:r>
          </w:p>
        </w:tc>
        <w:tc>
          <w:tcPr>
            <w:tcW w:w="209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1E1E896" w14:textId="77777777" w:rsidR="00D64F17" w:rsidRPr="008F63F9" w:rsidRDefault="00D64F17">
            <w:pPr>
              <w:keepNext/>
              <w:keepLines/>
              <w:ind w:left="118"/>
              <w:rPr>
                <w:rFonts w:ascii="Aptos" w:hAnsi="Aptos"/>
                <w:sz w:val="22"/>
                <w:szCs w:val="22"/>
              </w:rPr>
            </w:pPr>
            <w:r w:rsidRPr="008F63F9">
              <w:rPr>
                <w:rFonts w:ascii="Aptos" w:hAnsi="Aptos"/>
                <w:sz w:val="22"/>
                <w:szCs w:val="22"/>
              </w:rPr>
              <w:t>Pending federal or state legislation or regulation</w:t>
            </w:r>
          </w:p>
        </w:tc>
        <w:tc>
          <w:tcPr>
            <w:tcW w:w="6570" w:type="dxa"/>
            <w:tcBorders>
              <w:top w:val="single" w:sz="4" w:space="0" w:color="auto"/>
              <w:left w:val="single" w:sz="4" w:space="0" w:color="auto"/>
              <w:bottom w:val="single" w:sz="4" w:space="0" w:color="auto"/>
              <w:right w:val="single" w:sz="6" w:space="0" w:color="666666"/>
            </w:tcBorders>
            <w:shd w:val="clear" w:color="auto" w:fill="auto"/>
            <w:vAlign w:val="center"/>
            <w:hideMark/>
          </w:tcPr>
          <w:p w14:paraId="72A47EE2" w14:textId="77777777" w:rsidR="00D64F17" w:rsidRPr="008F63F9" w:rsidRDefault="00D64F17">
            <w:pPr>
              <w:keepNext/>
              <w:keepLines/>
              <w:ind w:left="87"/>
              <w:rPr>
                <w:rFonts w:ascii="Aptos" w:hAnsi="Aptos"/>
                <w:sz w:val="22"/>
                <w:szCs w:val="22"/>
              </w:rPr>
            </w:pPr>
            <w:r w:rsidRPr="008F63F9">
              <w:rPr>
                <w:rFonts w:ascii="Aptos" w:hAnsi="Aptos"/>
                <w:sz w:val="22"/>
                <w:szCs w:val="22"/>
              </w:rPr>
              <w:t>Sensitivities 0-8 evaluate the impact of pending legislation or regulation through the scenario planning cases. The impacts of pending legislation or regulation can be analyzed by varying estimates of carbon and fuel prices.</w:t>
            </w:r>
          </w:p>
        </w:tc>
      </w:tr>
      <w:tr w:rsidR="00D64F17" w:rsidRPr="00C15EF8" w14:paraId="17A4B5BF" w14:textId="77777777" w:rsidTr="00331B02">
        <w:trPr>
          <w:trHeight w:val="1005"/>
        </w:trPr>
        <w:tc>
          <w:tcPr>
            <w:tcW w:w="686" w:type="dxa"/>
            <w:tcBorders>
              <w:top w:val="single" w:sz="4" w:space="0" w:color="auto"/>
              <w:left w:val="single" w:sz="6" w:space="0" w:color="666666"/>
              <w:bottom w:val="single" w:sz="6" w:space="0" w:color="666666"/>
              <w:right w:val="single" w:sz="4" w:space="0" w:color="auto"/>
            </w:tcBorders>
            <w:shd w:val="clear" w:color="auto" w:fill="auto"/>
            <w:vAlign w:val="center"/>
            <w:hideMark/>
          </w:tcPr>
          <w:p w14:paraId="62D07DA8" w14:textId="77777777" w:rsidR="00D64F17" w:rsidRPr="008F63F9" w:rsidRDefault="00D64F17" w:rsidP="00F9524C">
            <w:pPr>
              <w:keepNext/>
              <w:keepLines/>
              <w:jc w:val="center"/>
              <w:rPr>
                <w:rFonts w:ascii="Aptos" w:hAnsi="Aptos"/>
                <w:b/>
                <w:sz w:val="22"/>
                <w:szCs w:val="22"/>
              </w:rPr>
            </w:pPr>
            <w:r w:rsidRPr="008F63F9">
              <w:rPr>
                <w:rFonts w:ascii="Aptos" w:hAnsi="Aptos"/>
                <w:b/>
                <w:sz w:val="22"/>
                <w:szCs w:val="22"/>
              </w:rPr>
              <w:t>8</w:t>
            </w:r>
          </w:p>
        </w:tc>
        <w:tc>
          <w:tcPr>
            <w:tcW w:w="2096" w:type="dxa"/>
            <w:tcBorders>
              <w:top w:val="single" w:sz="4" w:space="0" w:color="auto"/>
              <w:left w:val="single" w:sz="4" w:space="0" w:color="auto"/>
              <w:bottom w:val="single" w:sz="6" w:space="0" w:color="666666"/>
              <w:right w:val="single" w:sz="4" w:space="0" w:color="auto"/>
            </w:tcBorders>
            <w:shd w:val="clear" w:color="auto" w:fill="auto"/>
            <w:vAlign w:val="center"/>
            <w:hideMark/>
          </w:tcPr>
          <w:p w14:paraId="73717171" w14:textId="77777777" w:rsidR="00D64F17" w:rsidRPr="008F63F9" w:rsidRDefault="00D64F17">
            <w:pPr>
              <w:keepNext/>
              <w:keepLines/>
              <w:ind w:left="118"/>
              <w:rPr>
                <w:rFonts w:ascii="Aptos" w:hAnsi="Aptos"/>
                <w:sz w:val="22"/>
                <w:szCs w:val="22"/>
              </w:rPr>
            </w:pPr>
            <w:r w:rsidRPr="008F63F9">
              <w:rPr>
                <w:rFonts w:ascii="Aptos" w:hAnsi="Aptos"/>
                <w:sz w:val="22"/>
                <w:szCs w:val="22"/>
              </w:rPr>
              <w:t>Rate Impact Analysis</w:t>
            </w:r>
          </w:p>
        </w:tc>
        <w:tc>
          <w:tcPr>
            <w:tcW w:w="6570" w:type="dxa"/>
            <w:tcBorders>
              <w:top w:val="single" w:sz="4" w:space="0" w:color="auto"/>
              <w:left w:val="single" w:sz="4" w:space="0" w:color="auto"/>
              <w:bottom w:val="single" w:sz="6" w:space="0" w:color="666666"/>
              <w:right w:val="single" w:sz="6" w:space="0" w:color="666666"/>
            </w:tcBorders>
            <w:shd w:val="clear" w:color="auto" w:fill="auto"/>
            <w:vAlign w:val="center"/>
            <w:hideMark/>
          </w:tcPr>
          <w:p w14:paraId="6219ECF7" w14:textId="6566B079" w:rsidR="00D64F17" w:rsidRPr="008F63F9" w:rsidRDefault="00D64F17">
            <w:pPr>
              <w:keepNext/>
              <w:keepLines/>
              <w:ind w:left="87"/>
              <w:rPr>
                <w:rFonts w:ascii="Aptos" w:hAnsi="Aptos"/>
                <w:sz w:val="22"/>
                <w:szCs w:val="22"/>
              </w:rPr>
            </w:pPr>
            <w:r w:rsidRPr="008F63F9">
              <w:rPr>
                <w:rFonts w:ascii="Aptos" w:hAnsi="Aptos"/>
                <w:sz w:val="22"/>
                <w:szCs w:val="22"/>
              </w:rPr>
              <w:t>All of the sensitivities analyze the impacts on rates of the varying changes in assumptions.</w:t>
            </w:r>
          </w:p>
        </w:tc>
      </w:tr>
    </w:tbl>
    <w:p w14:paraId="3F79BB51" w14:textId="77777777" w:rsidR="00D64F17" w:rsidRPr="00C15EF8" w:rsidRDefault="00D64F17" w:rsidP="0059752F">
      <w:pPr>
        <w:pStyle w:val="BodyText"/>
        <w:jc w:val="both"/>
        <w:rPr>
          <w:rFonts w:ascii="Aptos" w:hAnsi="Aptos" w:cs="Arial"/>
          <w:sz w:val="22"/>
          <w:szCs w:val="22"/>
          <w:u w:val="single"/>
        </w:rPr>
      </w:pPr>
    </w:p>
    <w:p w14:paraId="03EC4456" w14:textId="69F7D147" w:rsidR="00E43894" w:rsidRPr="00C15EF8" w:rsidRDefault="00C310C1" w:rsidP="0059752F">
      <w:pPr>
        <w:tabs>
          <w:tab w:val="left" w:pos="360"/>
        </w:tabs>
        <w:jc w:val="both"/>
        <w:rPr>
          <w:rFonts w:ascii="Aptos" w:hAnsi="Aptos" w:cs="Arial"/>
          <w:b/>
          <w:sz w:val="22"/>
          <w:szCs w:val="22"/>
        </w:rPr>
      </w:pPr>
      <w:r w:rsidRPr="00C15EF8">
        <w:rPr>
          <w:rFonts w:ascii="Aptos" w:hAnsi="Aptos" w:cs="Arial"/>
          <w:sz w:val="22"/>
          <w:szCs w:val="22"/>
        </w:rPr>
        <w:t xml:space="preserve">See the Resource Mix Study in </w:t>
      </w:r>
      <w:r w:rsidR="00FE16C9" w:rsidRPr="00C15EF8">
        <w:rPr>
          <w:rFonts w:ascii="Aptos" w:hAnsi="Aptos" w:cs="Arial"/>
          <w:sz w:val="22"/>
          <w:szCs w:val="22"/>
        </w:rPr>
        <w:t xml:space="preserve">Technical </w:t>
      </w:r>
      <w:r w:rsidRPr="00C15EF8">
        <w:rPr>
          <w:rFonts w:ascii="Aptos" w:hAnsi="Aptos" w:cs="Arial"/>
          <w:sz w:val="22"/>
          <w:szCs w:val="22"/>
        </w:rPr>
        <w:t xml:space="preserve">Appendix Volume </w:t>
      </w:r>
      <w:r w:rsidR="00C03ABE" w:rsidRPr="00C15EF8">
        <w:rPr>
          <w:rFonts w:ascii="Aptos" w:hAnsi="Aptos" w:cs="Arial"/>
          <w:sz w:val="22"/>
          <w:szCs w:val="22"/>
        </w:rPr>
        <w:t xml:space="preserve">2 </w:t>
      </w:r>
      <w:r w:rsidR="008C3499" w:rsidRPr="00C15EF8">
        <w:rPr>
          <w:rFonts w:ascii="Aptos" w:hAnsi="Aptos" w:cs="Arial"/>
          <w:sz w:val="22"/>
          <w:szCs w:val="22"/>
        </w:rPr>
        <w:t xml:space="preserve">for more detailed descriptions of the sensitivities </w:t>
      </w:r>
      <w:r w:rsidR="00A11843" w:rsidRPr="00C15EF8">
        <w:rPr>
          <w:rFonts w:ascii="Aptos" w:hAnsi="Aptos" w:cs="Arial"/>
          <w:sz w:val="22"/>
          <w:szCs w:val="22"/>
        </w:rPr>
        <w:t xml:space="preserve">and planning scenarios </w:t>
      </w:r>
      <w:r w:rsidR="008C3499" w:rsidRPr="00C15EF8">
        <w:rPr>
          <w:rFonts w:ascii="Aptos" w:hAnsi="Aptos" w:cs="Arial"/>
          <w:sz w:val="22"/>
          <w:szCs w:val="22"/>
        </w:rPr>
        <w:t>performed.</w:t>
      </w:r>
      <w:r w:rsidR="00E43894" w:rsidRPr="00C15EF8">
        <w:rPr>
          <w:rFonts w:ascii="Aptos" w:hAnsi="Aptos" w:cs="Arial"/>
          <w:b/>
          <w:sz w:val="22"/>
          <w:szCs w:val="22"/>
        </w:rPr>
        <w:br w:type="page"/>
      </w:r>
    </w:p>
    <w:p w14:paraId="1A0639A3" w14:textId="77777777" w:rsidR="0059752F" w:rsidRPr="00202161" w:rsidRDefault="008C3499" w:rsidP="00202161">
      <w:pPr>
        <w:pStyle w:val="Heading1"/>
      </w:pPr>
      <w:r w:rsidRPr="00202161">
        <w:lastRenderedPageBreak/>
        <w:t>B.  Assumptions and Results</w:t>
      </w:r>
    </w:p>
    <w:p w14:paraId="0A80C046" w14:textId="77777777" w:rsidR="008C3499" w:rsidRPr="0018670A" w:rsidRDefault="008C3499" w:rsidP="0018670A">
      <w:pPr>
        <w:pStyle w:val="Heading2"/>
      </w:pPr>
      <w:r w:rsidRPr="0018670A">
        <w:t>B.1</w:t>
      </w:r>
      <w:r w:rsidR="00E43894" w:rsidRPr="0018670A">
        <w:t>.</w:t>
      </w:r>
      <w:r w:rsidRPr="0018670A">
        <w:t xml:space="preserve">  </w:t>
      </w:r>
      <w:r w:rsidR="0079711F" w:rsidRPr="0018670A">
        <w:t xml:space="preserve">Inflation </w:t>
      </w:r>
      <w:r w:rsidRPr="0018670A">
        <w:t>Assumptions</w:t>
      </w:r>
    </w:p>
    <w:p w14:paraId="734A66A7" w14:textId="6EBA7D6C" w:rsidR="0059752F" w:rsidRPr="008F63F9" w:rsidRDefault="0059752F" w:rsidP="0059752F">
      <w:pPr>
        <w:jc w:val="both"/>
        <w:rPr>
          <w:rFonts w:ascii="Aptos" w:hAnsi="Aptos" w:cs="Arial"/>
          <w:sz w:val="22"/>
          <w:szCs w:val="22"/>
        </w:rPr>
      </w:pPr>
      <w:r w:rsidRPr="008F63F9">
        <w:rPr>
          <w:rFonts w:ascii="Aptos" w:hAnsi="Aptos" w:cs="Arial"/>
          <w:sz w:val="22"/>
          <w:szCs w:val="22"/>
        </w:rPr>
        <w:t xml:space="preserve">The overall level of inflation assumed in this analysis is </w:t>
      </w:r>
      <w:r w:rsidR="00077B75" w:rsidRPr="009C3A38">
        <w:rPr>
          <w:rFonts w:ascii="Aptos" w:hAnsi="Aptos" w:cs="Arial"/>
          <w:b/>
          <w:bCs/>
          <w:sz w:val="12"/>
          <w:szCs w:val="12"/>
        </w:rPr>
        <w:t>REDACTED</w:t>
      </w:r>
      <w:r w:rsidRPr="008F63F9">
        <w:rPr>
          <w:rFonts w:ascii="Aptos" w:hAnsi="Aptos" w:cs="Arial"/>
          <w:sz w:val="22"/>
          <w:szCs w:val="22"/>
        </w:rPr>
        <w:t xml:space="preserve">, based on the </w:t>
      </w:r>
      <w:r w:rsidR="00B55E9A" w:rsidRPr="008F63F9">
        <w:rPr>
          <w:rFonts w:ascii="Aptos" w:hAnsi="Aptos" w:cs="Arial"/>
          <w:sz w:val="22"/>
          <w:szCs w:val="22"/>
        </w:rPr>
        <w:t>Gross Domestic Product Implicit Price Deflator (“GDP-IPD”) from the S&amp;P Global June 2024 Forecast</w:t>
      </w:r>
      <w:r w:rsidRPr="008F63F9">
        <w:rPr>
          <w:rFonts w:ascii="Aptos" w:hAnsi="Aptos" w:cs="Arial"/>
          <w:sz w:val="22"/>
          <w:szCs w:val="22"/>
        </w:rPr>
        <w:t xml:space="preserve">. </w:t>
      </w:r>
    </w:p>
    <w:p w14:paraId="08511493" w14:textId="77777777" w:rsidR="008C3499" w:rsidRPr="008F63F9" w:rsidRDefault="008C3499" w:rsidP="008C3499">
      <w:pPr>
        <w:rPr>
          <w:rFonts w:ascii="Aptos" w:hAnsi="Aptos" w:cs="Arial"/>
          <w:b/>
          <w:sz w:val="22"/>
          <w:szCs w:val="22"/>
        </w:rPr>
      </w:pPr>
    </w:p>
    <w:p w14:paraId="298F0147" w14:textId="77777777" w:rsidR="0059752F" w:rsidRPr="008F63F9" w:rsidRDefault="008C3499" w:rsidP="0018670A">
      <w:pPr>
        <w:pStyle w:val="Heading2"/>
      </w:pPr>
      <w:r w:rsidRPr="008F63F9">
        <w:t>B.2</w:t>
      </w:r>
      <w:r w:rsidR="00E43894" w:rsidRPr="008F63F9">
        <w:t>.</w:t>
      </w:r>
      <w:r w:rsidRPr="008F63F9">
        <w:t xml:space="preserve">  Cost of Capital, Capital Structure, AFUDC and Tax Rate Assumptions</w:t>
      </w:r>
    </w:p>
    <w:p w14:paraId="60F30509" w14:textId="02F7F89B" w:rsidR="008C3499" w:rsidRPr="008F63F9" w:rsidRDefault="008C3499" w:rsidP="0059752F">
      <w:pPr>
        <w:jc w:val="both"/>
        <w:rPr>
          <w:rFonts w:ascii="Aptos" w:hAnsi="Aptos" w:cs="Arial"/>
          <w:color w:val="FF0000"/>
          <w:sz w:val="22"/>
          <w:szCs w:val="22"/>
        </w:rPr>
      </w:pPr>
      <w:r w:rsidRPr="008F63F9">
        <w:rPr>
          <w:rFonts w:ascii="Aptos" w:hAnsi="Aptos" w:cs="Arial"/>
          <w:sz w:val="22"/>
          <w:szCs w:val="22"/>
        </w:rPr>
        <w:t xml:space="preserve">The costs of each of the IRP </w:t>
      </w:r>
      <w:r w:rsidR="00CA5F0F" w:rsidRPr="008F63F9">
        <w:rPr>
          <w:rFonts w:ascii="Aptos" w:hAnsi="Aptos" w:cs="Arial"/>
          <w:sz w:val="22"/>
          <w:szCs w:val="22"/>
        </w:rPr>
        <w:t>sensitivities</w:t>
      </w:r>
      <w:r w:rsidR="008E4A3B" w:rsidRPr="008F63F9">
        <w:rPr>
          <w:rFonts w:ascii="Aptos" w:hAnsi="Aptos" w:cs="Arial"/>
          <w:sz w:val="22"/>
          <w:szCs w:val="22"/>
        </w:rPr>
        <w:t xml:space="preserve"> </w:t>
      </w:r>
      <w:r w:rsidRPr="008F63F9">
        <w:rPr>
          <w:rFonts w:ascii="Aptos" w:hAnsi="Aptos" w:cs="Arial"/>
          <w:sz w:val="22"/>
          <w:szCs w:val="22"/>
        </w:rPr>
        <w:t>were evaluated using a regulated electric utility discount rate based on the following financial assumptions:</w:t>
      </w:r>
    </w:p>
    <w:p w14:paraId="6615048E" w14:textId="77777777" w:rsidR="008C3499" w:rsidRPr="005C36B8" w:rsidRDefault="008C3499" w:rsidP="008C3499">
      <w:pPr>
        <w:pStyle w:val="BodyText"/>
        <w:ind w:left="360" w:hanging="360"/>
        <w:rPr>
          <w:rFonts w:ascii="Aptos" w:hAnsi="Aptos" w:cs="Arial"/>
          <w:color w:val="FF0000"/>
          <w:sz w:val="22"/>
          <w:szCs w:val="22"/>
        </w:rPr>
      </w:pPr>
    </w:p>
    <w:tbl>
      <w:tblPr>
        <w:tblW w:w="8640" w:type="dxa"/>
        <w:jc w:val="center"/>
        <w:tblLayout w:type="fixed"/>
        <w:tblLook w:val="0000" w:firstRow="0" w:lastRow="0" w:firstColumn="0" w:lastColumn="0" w:noHBand="0" w:noVBand="0"/>
      </w:tblPr>
      <w:tblGrid>
        <w:gridCol w:w="2335"/>
        <w:gridCol w:w="2160"/>
        <w:gridCol w:w="2340"/>
        <w:gridCol w:w="1805"/>
      </w:tblGrid>
      <w:tr w:rsidR="008C3499" w:rsidRPr="008F63F9" w14:paraId="40A35CD2" w14:textId="77777777" w:rsidTr="00410FD9">
        <w:trPr>
          <w:trHeight w:val="360"/>
          <w:jc w:val="center"/>
        </w:trPr>
        <w:tc>
          <w:tcPr>
            <w:tcW w:w="2335" w:type="dxa"/>
            <w:tcBorders>
              <w:top w:val="single" w:sz="4" w:space="0" w:color="auto"/>
              <w:left w:val="single" w:sz="4" w:space="0" w:color="auto"/>
            </w:tcBorders>
          </w:tcPr>
          <w:p w14:paraId="4F5CB711" w14:textId="77777777" w:rsidR="008C3499" w:rsidRPr="008F63F9" w:rsidRDefault="008C3499" w:rsidP="008C3499">
            <w:pPr>
              <w:rPr>
                <w:rFonts w:ascii="Aptos" w:hAnsi="Aptos" w:cs="Arial"/>
                <w:sz w:val="22"/>
                <w:szCs w:val="22"/>
              </w:rPr>
            </w:pPr>
          </w:p>
        </w:tc>
        <w:tc>
          <w:tcPr>
            <w:tcW w:w="2160" w:type="dxa"/>
            <w:tcBorders>
              <w:top w:val="single" w:sz="4" w:space="0" w:color="auto"/>
            </w:tcBorders>
          </w:tcPr>
          <w:p w14:paraId="32E7EE34" w14:textId="77777777" w:rsidR="008C3499" w:rsidRPr="008F63F9" w:rsidRDefault="008C3499" w:rsidP="008C3499">
            <w:pPr>
              <w:jc w:val="center"/>
              <w:rPr>
                <w:rFonts w:ascii="Aptos" w:hAnsi="Aptos" w:cs="Arial"/>
                <w:sz w:val="22"/>
                <w:szCs w:val="22"/>
              </w:rPr>
            </w:pPr>
          </w:p>
          <w:p w14:paraId="06AA115E" w14:textId="77777777" w:rsidR="008C3499" w:rsidRPr="008F63F9" w:rsidRDefault="008C3499" w:rsidP="008C3499">
            <w:pPr>
              <w:jc w:val="center"/>
              <w:rPr>
                <w:rFonts w:ascii="Aptos" w:hAnsi="Aptos" w:cs="Arial"/>
                <w:sz w:val="22"/>
                <w:szCs w:val="22"/>
                <w:u w:val="single"/>
              </w:rPr>
            </w:pPr>
            <w:r w:rsidRPr="008F63F9">
              <w:rPr>
                <w:rFonts w:ascii="Aptos" w:hAnsi="Aptos" w:cs="Arial"/>
                <w:sz w:val="22"/>
                <w:szCs w:val="22"/>
                <w:u w:val="single"/>
              </w:rPr>
              <w:t>Structure</w:t>
            </w:r>
          </w:p>
        </w:tc>
        <w:tc>
          <w:tcPr>
            <w:tcW w:w="2340" w:type="dxa"/>
            <w:tcBorders>
              <w:top w:val="single" w:sz="4" w:space="0" w:color="auto"/>
            </w:tcBorders>
          </w:tcPr>
          <w:p w14:paraId="4568F9C5" w14:textId="77777777" w:rsidR="008C3499" w:rsidRPr="008F63F9" w:rsidRDefault="008C3499" w:rsidP="008C3499">
            <w:pPr>
              <w:jc w:val="center"/>
              <w:rPr>
                <w:rFonts w:ascii="Aptos" w:hAnsi="Aptos" w:cs="Arial"/>
                <w:sz w:val="22"/>
                <w:szCs w:val="22"/>
                <w:u w:val="single"/>
              </w:rPr>
            </w:pPr>
          </w:p>
          <w:p w14:paraId="6742E45D" w14:textId="77777777" w:rsidR="008C3499" w:rsidRPr="008F63F9" w:rsidRDefault="008C3499" w:rsidP="008C3499">
            <w:pPr>
              <w:jc w:val="center"/>
              <w:rPr>
                <w:rFonts w:ascii="Aptos" w:hAnsi="Aptos" w:cs="Arial"/>
                <w:sz w:val="22"/>
                <w:szCs w:val="22"/>
                <w:u w:val="single"/>
              </w:rPr>
            </w:pPr>
            <w:r w:rsidRPr="008F63F9">
              <w:rPr>
                <w:rFonts w:ascii="Aptos" w:hAnsi="Aptos" w:cs="Arial"/>
                <w:sz w:val="22"/>
                <w:szCs w:val="22"/>
                <w:u w:val="single"/>
              </w:rPr>
              <w:t>Cost</w:t>
            </w:r>
          </w:p>
        </w:tc>
        <w:tc>
          <w:tcPr>
            <w:tcW w:w="1805" w:type="dxa"/>
            <w:tcBorders>
              <w:top w:val="single" w:sz="4" w:space="0" w:color="auto"/>
              <w:right w:val="single" w:sz="4" w:space="0" w:color="auto"/>
            </w:tcBorders>
          </w:tcPr>
          <w:p w14:paraId="0C3FAFE9" w14:textId="77777777" w:rsidR="008C3499" w:rsidRPr="008F63F9" w:rsidRDefault="008C3499" w:rsidP="008C3499">
            <w:pPr>
              <w:jc w:val="center"/>
              <w:rPr>
                <w:rFonts w:ascii="Aptos" w:hAnsi="Aptos" w:cs="Arial"/>
                <w:sz w:val="22"/>
                <w:szCs w:val="22"/>
              </w:rPr>
            </w:pPr>
            <w:r w:rsidRPr="008F63F9">
              <w:rPr>
                <w:rFonts w:ascii="Aptos" w:hAnsi="Aptos" w:cs="Arial"/>
                <w:sz w:val="22"/>
                <w:szCs w:val="22"/>
              </w:rPr>
              <w:t>After-Tax</w:t>
            </w:r>
          </w:p>
          <w:p w14:paraId="024C353F" w14:textId="77777777" w:rsidR="008C3499" w:rsidRPr="008F63F9" w:rsidRDefault="008C3499" w:rsidP="008C3499">
            <w:pPr>
              <w:jc w:val="center"/>
              <w:rPr>
                <w:rFonts w:ascii="Aptos" w:hAnsi="Aptos" w:cs="Arial"/>
                <w:sz w:val="22"/>
                <w:szCs w:val="22"/>
                <w:u w:val="single"/>
              </w:rPr>
            </w:pPr>
            <w:r w:rsidRPr="008F63F9">
              <w:rPr>
                <w:rFonts w:ascii="Aptos" w:hAnsi="Aptos" w:cs="Arial"/>
                <w:sz w:val="22"/>
                <w:szCs w:val="22"/>
                <w:u w:val="single"/>
              </w:rPr>
              <w:t>Weighted Cost*</w:t>
            </w:r>
          </w:p>
        </w:tc>
      </w:tr>
      <w:tr w:rsidR="008C3499" w:rsidRPr="008F63F9" w14:paraId="6C417B04" w14:textId="77777777" w:rsidTr="00410FD9">
        <w:trPr>
          <w:trHeight w:val="360"/>
          <w:jc w:val="center"/>
        </w:trPr>
        <w:tc>
          <w:tcPr>
            <w:tcW w:w="2335" w:type="dxa"/>
            <w:tcBorders>
              <w:left w:val="single" w:sz="4" w:space="0" w:color="auto"/>
            </w:tcBorders>
          </w:tcPr>
          <w:p w14:paraId="562CC134" w14:textId="77777777" w:rsidR="008C3499" w:rsidRPr="008F63F9" w:rsidRDefault="008C3499" w:rsidP="008C3499">
            <w:pPr>
              <w:rPr>
                <w:rFonts w:ascii="Aptos" w:hAnsi="Aptos" w:cs="Arial"/>
                <w:sz w:val="22"/>
                <w:szCs w:val="22"/>
              </w:rPr>
            </w:pPr>
            <w:r w:rsidRPr="008F63F9">
              <w:rPr>
                <w:rFonts w:ascii="Aptos" w:hAnsi="Aptos" w:cs="Arial"/>
                <w:sz w:val="22"/>
                <w:szCs w:val="22"/>
              </w:rPr>
              <w:t>Debt</w:t>
            </w:r>
          </w:p>
        </w:tc>
        <w:tc>
          <w:tcPr>
            <w:tcW w:w="2160" w:type="dxa"/>
          </w:tcPr>
          <w:p w14:paraId="0DFCBB5D" w14:textId="77777777" w:rsidR="008C3499" w:rsidRPr="008F63F9" w:rsidRDefault="007521A1" w:rsidP="008C3499">
            <w:pPr>
              <w:jc w:val="center"/>
              <w:rPr>
                <w:rFonts w:ascii="Aptos" w:hAnsi="Aptos" w:cs="Arial"/>
                <w:sz w:val="22"/>
                <w:szCs w:val="22"/>
              </w:rPr>
            </w:pPr>
            <w:r w:rsidRPr="008F63F9">
              <w:rPr>
                <w:rFonts w:ascii="Aptos" w:hAnsi="Aptos" w:cs="Arial"/>
                <w:sz w:val="22"/>
                <w:szCs w:val="22"/>
              </w:rPr>
              <w:t>45</w:t>
            </w:r>
            <w:r w:rsidR="008C3499" w:rsidRPr="008F63F9">
              <w:rPr>
                <w:rFonts w:ascii="Aptos" w:hAnsi="Aptos" w:cs="Arial"/>
                <w:sz w:val="22"/>
                <w:szCs w:val="22"/>
              </w:rPr>
              <w:t>%</w:t>
            </w:r>
          </w:p>
        </w:tc>
        <w:tc>
          <w:tcPr>
            <w:tcW w:w="2340" w:type="dxa"/>
          </w:tcPr>
          <w:p w14:paraId="33AC9F99" w14:textId="2320FE11" w:rsidR="008C3499" w:rsidRPr="009C3A38" w:rsidRDefault="009C3A38" w:rsidP="00D5692A">
            <w:pPr>
              <w:jc w:val="center"/>
              <w:rPr>
                <w:rFonts w:ascii="Aptos" w:hAnsi="Aptos" w:cs="Arial"/>
                <w:b/>
                <w:bCs/>
                <w:sz w:val="22"/>
                <w:szCs w:val="22"/>
                <w:highlight w:val="yellow"/>
              </w:rPr>
            </w:pPr>
            <w:r w:rsidRPr="009C3A38">
              <w:rPr>
                <w:rFonts w:ascii="Aptos" w:hAnsi="Aptos" w:cs="Arial"/>
                <w:b/>
                <w:bCs/>
                <w:sz w:val="22"/>
                <w:szCs w:val="22"/>
              </w:rPr>
              <w:t>REDACTED</w:t>
            </w:r>
          </w:p>
        </w:tc>
        <w:tc>
          <w:tcPr>
            <w:tcW w:w="1805" w:type="dxa"/>
            <w:tcBorders>
              <w:right w:val="single" w:sz="4" w:space="0" w:color="auto"/>
            </w:tcBorders>
          </w:tcPr>
          <w:p w14:paraId="00738EFF" w14:textId="60DB9622" w:rsidR="008C3499" w:rsidRPr="008F63F9" w:rsidRDefault="009C3A38" w:rsidP="00D5692A">
            <w:pPr>
              <w:jc w:val="center"/>
              <w:rPr>
                <w:rFonts w:ascii="Aptos" w:hAnsi="Aptos" w:cs="Arial"/>
                <w:sz w:val="22"/>
                <w:szCs w:val="22"/>
                <w:highlight w:val="yellow"/>
              </w:rPr>
            </w:pPr>
            <w:r w:rsidRPr="009C3A38">
              <w:rPr>
                <w:rFonts w:ascii="Aptos" w:hAnsi="Aptos" w:cs="Arial"/>
                <w:b/>
                <w:bCs/>
                <w:sz w:val="22"/>
                <w:szCs w:val="22"/>
              </w:rPr>
              <w:t>REDACTED</w:t>
            </w:r>
          </w:p>
        </w:tc>
      </w:tr>
      <w:tr w:rsidR="008C3499" w:rsidRPr="008F63F9" w14:paraId="61895570" w14:textId="77777777" w:rsidTr="00410FD9">
        <w:trPr>
          <w:trHeight w:val="360"/>
          <w:jc w:val="center"/>
        </w:trPr>
        <w:tc>
          <w:tcPr>
            <w:tcW w:w="2335" w:type="dxa"/>
            <w:tcBorders>
              <w:left w:val="single" w:sz="4" w:space="0" w:color="auto"/>
            </w:tcBorders>
          </w:tcPr>
          <w:p w14:paraId="27193301" w14:textId="77777777" w:rsidR="008C3499" w:rsidRPr="005C36B8" w:rsidRDefault="008C3499" w:rsidP="0018670A">
            <w:pPr>
              <w:rPr>
                <w:rFonts w:ascii="Aptos" w:hAnsi="Aptos"/>
                <w:sz w:val="22"/>
                <w:szCs w:val="18"/>
              </w:rPr>
            </w:pPr>
            <w:r w:rsidRPr="005C36B8">
              <w:rPr>
                <w:rFonts w:ascii="Aptos" w:hAnsi="Aptos"/>
                <w:sz w:val="22"/>
                <w:szCs w:val="18"/>
              </w:rPr>
              <w:t>Common Equity</w:t>
            </w:r>
          </w:p>
        </w:tc>
        <w:tc>
          <w:tcPr>
            <w:tcW w:w="2160" w:type="dxa"/>
          </w:tcPr>
          <w:p w14:paraId="0CC6779F" w14:textId="77777777" w:rsidR="008C3499" w:rsidRPr="008F63F9" w:rsidRDefault="007521A1" w:rsidP="008C3499">
            <w:pPr>
              <w:jc w:val="center"/>
              <w:rPr>
                <w:rFonts w:ascii="Aptos" w:hAnsi="Aptos" w:cs="Arial"/>
                <w:sz w:val="22"/>
                <w:szCs w:val="22"/>
              </w:rPr>
            </w:pPr>
            <w:r w:rsidRPr="008F63F9">
              <w:rPr>
                <w:rFonts w:ascii="Aptos" w:hAnsi="Aptos" w:cs="Arial"/>
                <w:sz w:val="22"/>
                <w:szCs w:val="22"/>
              </w:rPr>
              <w:t>5</w:t>
            </w:r>
            <w:r w:rsidR="008C3499" w:rsidRPr="008F63F9">
              <w:rPr>
                <w:rFonts w:ascii="Aptos" w:hAnsi="Aptos" w:cs="Arial"/>
                <w:sz w:val="22"/>
                <w:szCs w:val="22"/>
              </w:rPr>
              <w:t>5%</w:t>
            </w:r>
          </w:p>
        </w:tc>
        <w:tc>
          <w:tcPr>
            <w:tcW w:w="2340" w:type="dxa"/>
          </w:tcPr>
          <w:p w14:paraId="34E7C277" w14:textId="3D9A5EA9" w:rsidR="008C3499" w:rsidRPr="008F63F9" w:rsidRDefault="009C3A38" w:rsidP="008C3499">
            <w:pPr>
              <w:jc w:val="center"/>
              <w:rPr>
                <w:rFonts w:ascii="Aptos" w:hAnsi="Aptos" w:cs="Arial"/>
                <w:sz w:val="22"/>
                <w:szCs w:val="22"/>
                <w:highlight w:val="yellow"/>
              </w:rPr>
            </w:pPr>
            <w:r w:rsidRPr="009C3A38">
              <w:rPr>
                <w:rFonts w:ascii="Aptos" w:hAnsi="Aptos" w:cs="Arial"/>
                <w:b/>
                <w:bCs/>
                <w:sz w:val="22"/>
                <w:szCs w:val="22"/>
              </w:rPr>
              <w:t>REDACTED</w:t>
            </w:r>
          </w:p>
        </w:tc>
        <w:tc>
          <w:tcPr>
            <w:tcW w:w="1805" w:type="dxa"/>
            <w:tcBorders>
              <w:right w:val="single" w:sz="4" w:space="0" w:color="auto"/>
            </w:tcBorders>
          </w:tcPr>
          <w:p w14:paraId="3A1C0F72" w14:textId="25CEE54A" w:rsidR="008C3499" w:rsidRPr="008F63F9" w:rsidRDefault="00D72B34" w:rsidP="008C3499">
            <w:pPr>
              <w:jc w:val="center"/>
              <w:rPr>
                <w:rFonts w:ascii="Aptos" w:hAnsi="Aptos" w:cs="Arial"/>
                <w:sz w:val="22"/>
                <w:szCs w:val="22"/>
                <w:highlight w:val="yellow"/>
                <w:u w:val="single"/>
              </w:rPr>
            </w:pPr>
            <w:r w:rsidRPr="009C3A38">
              <w:rPr>
                <w:rFonts w:ascii="Aptos" w:hAnsi="Aptos" w:cs="Arial"/>
                <w:b/>
                <w:bCs/>
                <w:sz w:val="22"/>
                <w:szCs w:val="22"/>
              </w:rPr>
              <w:t>REDACTED</w:t>
            </w:r>
          </w:p>
        </w:tc>
      </w:tr>
      <w:tr w:rsidR="008C3499" w:rsidRPr="008F63F9" w14:paraId="66385C58" w14:textId="77777777" w:rsidTr="0018670A">
        <w:trPr>
          <w:trHeight w:val="360"/>
          <w:jc w:val="center"/>
        </w:trPr>
        <w:tc>
          <w:tcPr>
            <w:tcW w:w="6835" w:type="dxa"/>
            <w:gridSpan w:val="3"/>
            <w:tcBorders>
              <w:left w:val="single" w:sz="4" w:space="0" w:color="auto"/>
              <w:bottom w:val="single" w:sz="4" w:space="0" w:color="auto"/>
            </w:tcBorders>
          </w:tcPr>
          <w:p w14:paraId="6C9F9F66" w14:textId="77777777" w:rsidR="008C3499" w:rsidRPr="0018670A" w:rsidRDefault="008C3499" w:rsidP="0018670A">
            <w:pPr>
              <w:rPr>
                <w:rFonts w:ascii="Aptos" w:hAnsi="Aptos"/>
                <w:b/>
                <w:sz w:val="22"/>
                <w:szCs w:val="18"/>
              </w:rPr>
            </w:pPr>
            <w:r w:rsidRPr="0018670A">
              <w:rPr>
                <w:rFonts w:ascii="Aptos" w:hAnsi="Aptos"/>
                <w:b/>
                <w:sz w:val="22"/>
                <w:szCs w:val="18"/>
              </w:rPr>
              <w:t>Discount Rate = Weighted After-Tax Cost of Capital (WACC) =</w:t>
            </w:r>
          </w:p>
        </w:tc>
        <w:tc>
          <w:tcPr>
            <w:tcW w:w="1805" w:type="dxa"/>
            <w:tcBorders>
              <w:bottom w:val="single" w:sz="4" w:space="0" w:color="auto"/>
              <w:right w:val="single" w:sz="4" w:space="0" w:color="auto"/>
            </w:tcBorders>
          </w:tcPr>
          <w:p w14:paraId="42B2F39B" w14:textId="48EF5409" w:rsidR="008C3499" w:rsidRPr="008F63F9" w:rsidRDefault="00D72B34" w:rsidP="00D5692A">
            <w:pPr>
              <w:jc w:val="center"/>
              <w:rPr>
                <w:rFonts w:ascii="Aptos" w:hAnsi="Aptos" w:cs="Arial"/>
                <w:b/>
                <w:sz w:val="22"/>
                <w:szCs w:val="22"/>
              </w:rPr>
            </w:pPr>
            <w:r w:rsidRPr="009C3A38">
              <w:rPr>
                <w:rFonts w:ascii="Aptos" w:hAnsi="Aptos" w:cs="Arial"/>
                <w:b/>
                <w:bCs/>
                <w:sz w:val="22"/>
                <w:szCs w:val="22"/>
              </w:rPr>
              <w:t>REDACTED</w:t>
            </w:r>
          </w:p>
        </w:tc>
      </w:tr>
    </w:tbl>
    <w:p w14:paraId="1B3B9069" w14:textId="6C4FA6A3" w:rsidR="008C3499" w:rsidRPr="008F63F9" w:rsidRDefault="001F6CC7" w:rsidP="008C3499">
      <w:pPr>
        <w:tabs>
          <w:tab w:val="left" w:pos="360"/>
        </w:tabs>
        <w:rPr>
          <w:rFonts w:ascii="Aptos" w:hAnsi="Aptos" w:cs="Arial"/>
          <w:sz w:val="22"/>
          <w:szCs w:val="22"/>
        </w:rPr>
      </w:pPr>
      <w:r>
        <w:rPr>
          <w:rFonts w:ascii="Aptos" w:hAnsi="Aptos" w:cs="Arial"/>
          <w:i/>
          <w:sz w:val="22"/>
          <w:szCs w:val="22"/>
        </w:rPr>
        <w:tab/>
      </w:r>
      <w:r w:rsidR="008C3499" w:rsidRPr="008F63F9">
        <w:rPr>
          <w:rFonts w:ascii="Aptos" w:hAnsi="Aptos" w:cs="Arial"/>
          <w:i/>
          <w:sz w:val="22"/>
          <w:szCs w:val="22"/>
        </w:rPr>
        <w:t xml:space="preserve">(*based on </w:t>
      </w:r>
      <w:r w:rsidR="007521A1" w:rsidRPr="008F63F9">
        <w:rPr>
          <w:rFonts w:ascii="Aptos" w:hAnsi="Aptos" w:cs="Arial"/>
          <w:i/>
          <w:sz w:val="22"/>
          <w:szCs w:val="22"/>
        </w:rPr>
        <w:t>25.</w:t>
      </w:r>
      <w:r w:rsidR="00262617" w:rsidRPr="008F63F9">
        <w:rPr>
          <w:rFonts w:ascii="Aptos" w:hAnsi="Aptos" w:cs="Arial"/>
          <w:i/>
          <w:sz w:val="22"/>
          <w:szCs w:val="22"/>
        </w:rPr>
        <w:t>4</w:t>
      </w:r>
      <w:r w:rsidR="008C3499" w:rsidRPr="008F63F9">
        <w:rPr>
          <w:rFonts w:ascii="Aptos" w:hAnsi="Aptos" w:cs="Arial"/>
          <w:i/>
          <w:sz w:val="22"/>
          <w:szCs w:val="22"/>
        </w:rPr>
        <w:t>% composite tax rate)</w:t>
      </w:r>
    </w:p>
    <w:p w14:paraId="3A888AF1" w14:textId="4B7AFCD5" w:rsidR="008C3499" w:rsidRPr="001F6CC7" w:rsidRDefault="008C3499" w:rsidP="008C3499">
      <w:pPr>
        <w:rPr>
          <w:rFonts w:ascii="Aptos" w:hAnsi="Aptos" w:cs="Arial"/>
          <w:color w:val="FF0000"/>
          <w:sz w:val="22"/>
          <w:szCs w:val="22"/>
        </w:rPr>
      </w:pPr>
    </w:p>
    <w:p w14:paraId="2347223C" w14:textId="77777777" w:rsidR="008C3499" w:rsidRPr="001F6CC7" w:rsidRDefault="008C3499" w:rsidP="0018670A">
      <w:pPr>
        <w:pStyle w:val="Heading2"/>
      </w:pPr>
      <w:r w:rsidRPr="001F6CC7">
        <w:t>B.3</w:t>
      </w:r>
      <w:r w:rsidR="00E43894" w:rsidRPr="001F6CC7">
        <w:t>.</w:t>
      </w:r>
      <w:r w:rsidRPr="001F6CC7">
        <w:t xml:space="preserve">  Revenue Requirements and Annual Average Rates Results</w:t>
      </w:r>
    </w:p>
    <w:p w14:paraId="40771F7D" w14:textId="5B9C6FA4" w:rsidR="008C3499" w:rsidRPr="001F6CC7" w:rsidRDefault="008C3499" w:rsidP="0059752F">
      <w:pPr>
        <w:pStyle w:val="BodyText"/>
        <w:jc w:val="both"/>
        <w:rPr>
          <w:rFonts w:ascii="Aptos" w:hAnsi="Aptos" w:cs="Arial"/>
          <w:sz w:val="22"/>
          <w:szCs w:val="22"/>
        </w:rPr>
      </w:pPr>
      <w:r w:rsidRPr="001F6CC7">
        <w:rPr>
          <w:rFonts w:ascii="Aptos" w:hAnsi="Aptos" w:cs="Arial"/>
          <w:sz w:val="22"/>
          <w:szCs w:val="22"/>
        </w:rPr>
        <w:t xml:space="preserve">For each of the </w:t>
      </w:r>
      <w:r w:rsidR="00733AF7" w:rsidRPr="001F6CC7">
        <w:rPr>
          <w:rFonts w:ascii="Aptos" w:hAnsi="Aptos" w:cs="Arial"/>
          <w:sz w:val="22"/>
          <w:szCs w:val="22"/>
        </w:rPr>
        <w:t>sensitivit</w:t>
      </w:r>
      <w:r w:rsidR="00860C8F" w:rsidRPr="001F6CC7">
        <w:rPr>
          <w:rFonts w:ascii="Aptos" w:hAnsi="Aptos" w:cs="Arial"/>
          <w:sz w:val="22"/>
          <w:szCs w:val="22"/>
        </w:rPr>
        <w:t>ies</w:t>
      </w:r>
      <w:r w:rsidRPr="001F6CC7">
        <w:rPr>
          <w:rFonts w:ascii="Aptos" w:hAnsi="Aptos" w:cs="Arial"/>
          <w:sz w:val="22"/>
          <w:szCs w:val="22"/>
        </w:rPr>
        <w:t xml:space="preserve">, </w:t>
      </w:r>
      <w:r w:rsidR="00CF004A" w:rsidRPr="005C36B8">
        <w:rPr>
          <w:rFonts w:ascii="Aptos" w:hAnsi="Aptos" w:cs="Arial"/>
          <w:sz w:val="22"/>
          <w:szCs w:val="22"/>
        </w:rPr>
        <w:t>worksheets</w:t>
      </w:r>
      <w:r w:rsidRPr="005C36B8">
        <w:rPr>
          <w:rFonts w:ascii="Aptos" w:hAnsi="Aptos" w:cs="Arial"/>
          <w:sz w:val="22"/>
          <w:szCs w:val="22"/>
        </w:rPr>
        <w:t xml:space="preserve"> </w:t>
      </w:r>
      <w:r w:rsidR="00CF004A" w:rsidRPr="005C36B8">
        <w:rPr>
          <w:rFonts w:ascii="Aptos" w:hAnsi="Aptos" w:cs="Arial"/>
          <w:sz w:val="22"/>
          <w:szCs w:val="22"/>
        </w:rPr>
        <w:t>“</w:t>
      </w:r>
      <w:r w:rsidRPr="001F6CC7">
        <w:rPr>
          <w:rFonts w:ascii="Aptos" w:hAnsi="Aptos" w:cs="Arial"/>
          <w:sz w:val="22"/>
          <w:szCs w:val="22"/>
        </w:rPr>
        <w:t>0</w:t>
      </w:r>
      <w:r w:rsidR="00CF004A" w:rsidRPr="005C36B8">
        <w:rPr>
          <w:rFonts w:ascii="Aptos" w:hAnsi="Aptos" w:cs="Arial"/>
          <w:sz w:val="22"/>
          <w:szCs w:val="22"/>
        </w:rPr>
        <w:t>”</w:t>
      </w:r>
      <w:r w:rsidRPr="001F6CC7">
        <w:rPr>
          <w:rFonts w:ascii="Aptos" w:hAnsi="Aptos" w:cs="Arial"/>
          <w:sz w:val="22"/>
          <w:szCs w:val="22"/>
        </w:rPr>
        <w:t xml:space="preserve"> through </w:t>
      </w:r>
      <w:r w:rsidR="00CF004A" w:rsidRPr="005C36B8">
        <w:rPr>
          <w:rFonts w:ascii="Aptos" w:hAnsi="Aptos" w:cs="Arial"/>
          <w:sz w:val="22"/>
          <w:szCs w:val="22"/>
        </w:rPr>
        <w:t>“</w:t>
      </w:r>
      <w:r w:rsidR="008E4A3B" w:rsidRPr="001F6CC7">
        <w:rPr>
          <w:rFonts w:ascii="Aptos" w:hAnsi="Aptos" w:cs="Arial"/>
          <w:sz w:val="22"/>
          <w:szCs w:val="22"/>
        </w:rPr>
        <w:t>1</w:t>
      </w:r>
      <w:r w:rsidR="005402DE" w:rsidRPr="001F6CC7">
        <w:rPr>
          <w:rFonts w:ascii="Aptos" w:hAnsi="Aptos" w:cs="Arial"/>
          <w:sz w:val="22"/>
          <w:szCs w:val="22"/>
        </w:rPr>
        <w:t>2</w:t>
      </w:r>
      <w:r w:rsidR="00CF004A" w:rsidRPr="005C36B8">
        <w:rPr>
          <w:rFonts w:ascii="Aptos" w:hAnsi="Aptos" w:cs="Arial"/>
          <w:sz w:val="22"/>
          <w:szCs w:val="22"/>
        </w:rPr>
        <w:t>”</w:t>
      </w:r>
      <w:r w:rsidR="00A91905" w:rsidRPr="005C36B8">
        <w:rPr>
          <w:rFonts w:ascii="Aptos" w:hAnsi="Aptos" w:cs="Arial"/>
          <w:sz w:val="22"/>
          <w:szCs w:val="22"/>
        </w:rPr>
        <w:t xml:space="preserve"> </w:t>
      </w:r>
      <w:r w:rsidR="0038237B" w:rsidRPr="005C36B8">
        <w:rPr>
          <w:rFonts w:ascii="Aptos" w:hAnsi="Aptos" w:cs="Arial"/>
          <w:sz w:val="22"/>
          <w:szCs w:val="22"/>
        </w:rPr>
        <w:t xml:space="preserve">in “2025 IRP Financial </w:t>
      </w:r>
      <w:r w:rsidR="00CF004A" w:rsidRPr="005C36B8">
        <w:rPr>
          <w:rFonts w:ascii="Aptos" w:hAnsi="Aptos" w:cs="Arial"/>
          <w:sz w:val="22"/>
          <w:szCs w:val="22"/>
        </w:rPr>
        <w:t xml:space="preserve">Review </w:t>
      </w:r>
      <w:r w:rsidR="007D135C" w:rsidRPr="005C36B8">
        <w:rPr>
          <w:rFonts w:ascii="Aptos" w:hAnsi="Aptos" w:cs="Arial"/>
          <w:sz w:val="22"/>
          <w:szCs w:val="22"/>
        </w:rPr>
        <w:t>TRADE SECRET</w:t>
      </w:r>
      <w:r w:rsidR="00CF004A" w:rsidRPr="005C36B8">
        <w:rPr>
          <w:rFonts w:ascii="Aptos" w:hAnsi="Aptos" w:cs="Arial"/>
          <w:sz w:val="22"/>
          <w:szCs w:val="22"/>
        </w:rPr>
        <w:t>.xlsx</w:t>
      </w:r>
      <w:r w:rsidR="0038237B" w:rsidRPr="005C36B8">
        <w:rPr>
          <w:rFonts w:ascii="Aptos" w:hAnsi="Aptos" w:cs="Arial"/>
          <w:sz w:val="22"/>
          <w:szCs w:val="22"/>
        </w:rPr>
        <w:t>”</w:t>
      </w:r>
      <w:r w:rsidR="00A91905" w:rsidRPr="001F6CC7">
        <w:rPr>
          <w:rFonts w:ascii="Aptos" w:hAnsi="Aptos" w:cs="Arial"/>
          <w:sz w:val="22"/>
          <w:szCs w:val="22"/>
        </w:rPr>
        <w:t xml:space="preserve"> </w:t>
      </w:r>
      <w:r w:rsidRPr="001F6CC7">
        <w:rPr>
          <w:rFonts w:ascii="Aptos" w:hAnsi="Aptos" w:cs="Arial"/>
          <w:sz w:val="22"/>
          <w:szCs w:val="22"/>
        </w:rPr>
        <w:t xml:space="preserve">show the annual revenue requirements, the annual cents/kWh, and the present </w:t>
      </w:r>
      <w:r w:rsidR="0043438E" w:rsidRPr="001F6CC7">
        <w:rPr>
          <w:rFonts w:ascii="Aptos" w:hAnsi="Aptos" w:cs="Arial"/>
          <w:sz w:val="22"/>
          <w:szCs w:val="22"/>
        </w:rPr>
        <w:t>value</w:t>
      </w:r>
      <w:r w:rsidRPr="001F6CC7">
        <w:rPr>
          <w:rFonts w:ascii="Aptos" w:hAnsi="Aptos" w:cs="Arial"/>
          <w:sz w:val="22"/>
          <w:szCs w:val="22"/>
        </w:rPr>
        <w:t xml:space="preserve"> of revenue requirements.</w:t>
      </w:r>
      <w:r w:rsidR="00123830" w:rsidRPr="001F6CC7">
        <w:rPr>
          <w:rFonts w:ascii="Aptos" w:hAnsi="Aptos" w:cs="Arial"/>
          <w:sz w:val="22"/>
          <w:szCs w:val="22"/>
        </w:rPr>
        <w:t xml:space="preserve"> </w:t>
      </w:r>
      <w:r w:rsidR="00B7620D" w:rsidRPr="001F6CC7">
        <w:rPr>
          <w:rFonts w:ascii="Aptos" w:hAnsi="Aptos" w:cs="Arial"/>
          <w:sz w:val="22"/>
          <w:szCs w:val="22"/>
        </w:rPr>
        <w:t xml:space="preserve">The revenue requirements for each case consist of total production costs plus </w:t>
      </w:r>
      <w:r w:rsidR="006844DD" w:rsidRPr="001F6CC7">
        <w:rPr>
          <w:rFonts w:ascii="Aptos" w:hAnsi="Aptos" w:cs="Arial"/>
          <w:sz w:val="22"/>
          <w:szCs w:val="22"/>
        </w:rPr>
        <w:t>fixed</w:t>
      </w:r>
      <w:r w:rsidR="00B7620D" w:rsidRPr="001F6CC7">
        <w:rPr>
          <w:rFonts w:ascii="Aptos" w:hAnsi="Aptos" w:cs="Arial"/>
          <w:sz w:val="22"/>
          <w:szCs w:val="22"/>
        </w:rPr>
        <w:t xml:space="preserve"> costs associated with system expansion</w:t>
      </w:r>
      <w:r w:rsidR="00733AF7" w:rsidRPr="001F6CC7">
        <w:rPr>
          <w:rFonts w:ascii="Aptos" w:hAnsi="Aptos" w:cs="Arial"/>
          <w:sz w:val="22"/>
          <w:szCs w:val="22"/>
        </w:rPr>
        <w:t xml:space="preserve"> </w:t>
      </w:r>
      <w:r w:rsidR="004647D9" w:rsidRPr="001F6CC7">
        <w:rPr>
          <w:rFonts w:ascii="Aptos" w:hAnsi="Aptos" w:cs="Arial"/>
          <w:sz w:val="22"/>
          <w:szCs w:val="22"/>
        </w:rPr>
        <w:t>and environmental compliance for the existing fleet</w:t>
      </w:r>
      <w:r w:rsidR="002102F2" w:rsidRPr="001F6CC7">
        <w:rPr>
          <w:rFonts w:ascii="Aptos" w:hAnsi="Aptos" w:cs="Arial"/>
          <w:sz w:val="22"/>
          <w:szCs w:val="22"/>
        </w:rPr>
        <w:t xml:space="preserve"> (</w:t>
      </w:r>
      <w:r w:rsidR="003F2565" w:rsidRPr="005C36B8">
        <w:rPr>
          <w:rFonts w:ascii="Aptos" w:hAnsi="Aptos" w:cs="Arial"/>
          <w:sz w:val="22"/>
          <w:szCs w:val="22"/>
        </w:rPr>
        <w:t>C</w:t>
      </w:r>
      <w:r w:rsidR="004647D9" w:rsidRPr="005C36B8">
        <w:rPr>
          <w:rFonts w:ascii="Aptos" w:hAnsi="Aptos" w:cs="Arial"/>
          <w:sz w:val="22"/>
          <w:szCs w:val="22"/>
        </w:rPr>
        <w:t>ases</w:t>
      </w:r>
      <w:r w:rsidR="00733AF7" w:rsidRPr="001F6CC7">
        <w:rPr>
          <w:rFonts w:ascii="Aptos" w:hAnsi="Aptos" w:cs="Arial"/>
          <w:sz w:val="22"/>
          <w:szCs w:val="22"/>
        </w:rPr>
        <w:t xml:space="preserve"> </w:t>
      </w:r>
      <w:r w:rsidR="008E4A3B" w:rsidRPr="001F6CC7">
        <w:rPr>
          <w:rFonts w:ascii="Aptos" w:hAnsi="Aptos" w:cs="Arial"/>
          <w:sz w:val="22"/>
          <w:szCs w:val="22"/>
        </w:rPr>
        <w:t>1</w:t>
      </w:r>
      <w:r w:rsidR="00CD6E66" w:rsidRPr="001F6CC7">
        <w:rPr>
          <w:rFonts w:ascii="Aptos" w:hAnsi="Aptos" w:cs="Arial"/>
          <w:sz w:val="22"/>
          <w:szCs w:val="22"/>
        </w:rPr>
        <w:t>0</w:t>
      </w:r>
      <w:r w:rsidR="00733AF7" w:rsidRPr="001F6CC7">
        <w:rPr>
          <w:rFonts w:ascii="Aptos" w:hAnsi="Aptos" w:cs="Arial"/>
          <w:sz w:val="22"/>
          <w:szCs w:val="22"/>
        </w:rPr>
        <w:t xml:space="preserve"> and </w:t>
      </w:r>
      <w:r w:rsidR="008E4A3B" w:rsidRPr="001F6CC7">
        <w:rPr>
          <w:rFonts w:ascii="Aptos" w:hAnsi="Aptos" w:cs="Arial"/>
          <w:sz w:val="22"/>
          <w:szCs w:val="22"/>
        </w:rPr>
        <w:t>1</w:t>
      </w:r>
      <w:r w:rsidR="00CD6E66" w:rsidRPr="001F6CC7">
        <w:rPr>
          <w:rFonts w:ascii="Aptos" w:hAnsi="Aptos" w:cs="Arial"/>
          <w:sz w:val="22"/>
          <w:szCs w:val="22"/>
        </w:rPr>
        <w:t>1</w:t>
      </w:r>
      <w:r w:rsidR="00733AF7" w:rsidRPr="001F6CC7">
        <w:rPr>
          <w:rFonts w:ascii="Aptos" w:hAnsi="Aptos" w:cs="Arial"/>
          <w:sz w:val="22"/>
          <w:szCs w:val="22"/>
        </w:rPr>
        <w:t xml:space="preserve"> also include DSM</w:t>
      </w:r>
      <w:r w:rsidR="00BA048F" w:rsidRPr="005C36B8">
        <w:rPr>
          <w:rFonts w:ascii="Aptos" w:hAnsi="Aptos" w:cs="Arial"/>
          <w:sz w:val="22"/>
          <w:szCs w:val="22"/>
        </w:rPr>
        <w:t>-</w:t>
      </w:r>
      <w:r w:rsidR="00733AF7" w:rsidRPr="001F6CC7">
        <w:rPr>
          <w:rFonts w:ascii="Aptos" w:hAnsi="Aptos" w:cs="Arial"/>
          <w:sz w:val="22"/>
          <w:szCs w:val="22"/>
        </w:rPr>
        <w:t>related cost adjustments</w:t>
      </w:r>
      <w:r w:rsidR="002102F2" w:rsidRPr="001F6CC7">
        <w:rPr>
          <w:rFonts w:ascii="Aptos" w:hAnsi="Aptos" w:cs="Arial"/>
          <w:sz w:val="22"/>
          <w:szCs w:val="22"/>
        </w:rPr>
        <w:t>)</w:t>
      </w:r>
      <w:r w:rsidR="00733AF7" w:rsidRPr="001F6CC7">
        <w:rPr>
          <w:rFonts w:ascii="Aptos" w:hAnsi="Aptos" w:cs="Arial"/>
          <w:sz w:val="22"/>
          <w:szCs w:val="22"/>
        </w:rPr>
        <w:t>.</w:t>
      </w:r>
      <w:r w:rsidR="00123830" w:rsidRPr="001F6CC7">
        <w:rPr>
          <w:rFonts w:ascii="Aptos" w:hAnsi="Aptos" w:cs="Arial"/>
          <w:sz w:val="22"/>
          <w:szCs w:val="22"/>
        </w:rPr>
        <w:t xml:space="preserve"> </w:t>
      </w:r>
      <w:r w:rsidR="00B7620D" w:rsidRPr="001F6CC7">
        <w:rPr>
          <w:rFonts w:ascii="Aptos" w:hAnsi="Aptos" w:cs="Arial"/>
          <w:sz w:val="22"/>
          <w:szCs w:val="22"/>
        </w:rPr>
        <w:t>F</w:t>
      </w:r>
      <w:r w:rsidRPr="001F6CC7">
        <w:rPr>
          <w:rFonts w:ascii="Aptos" w:hAnsi="Aptos" w:cs="Arial"/>
          <w:sz w:val="22"/>
          <w:szCs w:val="22"/>
        </w:rPr>
        <w:t xml:space="preserve">or example, the </w:t>
      </w:r>
      <w:r w:rsidR="00D72B34" w:rsidRPr="00DE1E25">
        <w:rPr>
          <w:rFonts w:ascii="Aptos" w:hAnsi="Aptos" w:cs="Arial"/>
          <w:b/>
          <w:bCs/>
          <w:sz w:val="8"/>
          <w:szCs w:val="8"/>
        </w:rPr>
        <w:t>REDACTED</w:t>
      </w:r>
      <w:r w:rsidR="007F06E3" w:rsidRPr="001F6CC7">
        <w:rPr>
          <w:rFonts w:ascii="Aptos" w:hAnsi="Aptos" w:cs="Arial"/>
          <w:sz w:val="22"/>
          <w:szCs w:val="22"/>
        </w:rPr>
        <w:t>¢</w:t>
      </w:r>
      <w:r w:rsidR="00B264DC" w:rsidRPr="001F6CC7">
        <w:rPr>
          <w:rFonts w:ascii="Aptos" w:hAnsi="Aptos" w:cs="Arial"/>
          <w:sz w:val="22"/>
          <w:szCs w:val="22"/>
        </w:rPr>
        <w:t>/</w:t>
      </w:r>
      <w:r w:rsidRPr="001F6CC7">
        <w:rPr>
          <w:rFonts w:ascii="Aptos" w:hAnsi="Aptos" w:cs="Arial"/>
          <w:sz w:val="22"/>
          <w:szCs w:val="22"/>
        </w:rPr>
        <w:t>k</w:t>
      </w:r>
      <w:r w:rsidR="00D75978" w:rsidRPr="001F6CC7">
        <w:rPr>
          <w:rFonts w:ascii="Aptos" w:hAnsi="Aptos" w:cs="Arial"/>
          <w:sz w:val="22"/>
          <w:szCs w:val="22"/>
        </w:rPr>
        <w:t>W</w:t>
      </w:r>
      <w:r w:rsidRPr="001F6CC7">
        <w:rPr>
          <w:rFonts w:ascii="Aptos" w:hAnsi="Aptos" w:cs="Arial"/>
          <w:sz w:val="22"/>
          <w:szCs w:val="22"/>
        </w:rPr>
        <w:t xml:space="preserve">h real levelized (in year </w:t>
      </w:r>
      <w:r w:rsidR="00D6585D" w:rsidRPr="001F6CC7">
        <w:rPr>
          <w:rFonts w:ascii="Aptos" w:hAnsi="Aptos" w:cs="Arial"/>
          <w:sz w:val="22"/>
          <w:szCs w:val="22"/>
        </w:rPr>
        <w:t>20</w:t>
      </w:r>
      <w:r w:rsidR="008E4A3B" w:rsidRPr="001F6CC7">
        <w:rPr>
          <w:rFonts w:ascii="Aptos" w:hAnsi="Aptos" w:cs="Arial"/>
          <w:sz w:val="22"/>
          <w:szCs w:val="22"/>
        </w:rPr>
        <w:t>2</w:t>
      </w:r>
      <w:r w:rsidR="005402DE" w:rsidRPr="001F6CC7">
        <w:rPr>
          <w:rFonts w:ascii="Aptos" w:hAnsi="Aptos" w:cs="Arial"/>
          <w:sz w:val="22"/>
          <w:szCs w:val="22"/>
        </w:rPr>
        <w:t>5</w:t>
      </w:r>
      <w:r w:rsidR="00D6585D" w:rsidRPr="001F6CC7">
        <w:rPr>
          <w:rFonts w:ascii="Aptos" w:hAnsi="Aptos" w:cs="Arial"/>
          <w:sz w:val="22"/>
          <w:szCs w:val="22"/>
        </w:rPr>
        <w:t>$</w:t>
      </w:r>
      <w:r w:rsidRPr="001F6CC7">
        <w:rPr>
          <w:rFonts w:ascii="Aptos" w:hAnsi="Aptos" w:cs="Arial"/>
          <w:sz w:val="22"/>
          <w:szCs w:val="22"/>
        </w:rPr>
        <w:t xml:space="preserve">) and the </w:t>
      </w:r>
      <w:r w:rsidR="00DE1E25" w:rsidRPr="00DE1E25">
        <w:rPr>
          <w:rFonts w:ascii="Aptos" w:hAnsi="Aptos" w:cs="Arial"/>
          <w:b/>
          <w:bCs/>
          <w:sz w:val="12"/>
          <w:szCs w:val="12"/>
        </w:rPr>
        <w:t>REDACTED</w:t>
      </w:r>
      <w:r w:rsidR="007F06E3" w:rsidRPr="001F6CC7">
        <w:rPr>
          <w:rFonts w:ascii="Aptos" w:hAnsi="Aptos" w:cs="Arial"/>
          <w:sz w:val="22"/>
          <w:szCs w:val="22"/>
        </w:rPr>
        <w:t>¢/kWh</w:t>
      </w:r>
      <w:r w:rsidRPr="001F6CC7">
        <w:rPr>
          <w:rFonts w:ascii="Aptos" w:hAnsi="Aptos" w:cs="Arial"/>
          <w:sz w:val="22"/>
          <w:szCs w:val="22"/>
        </w:rPr>
        <w:t xml:space="preserve"> nominal levelized from the IRP </w:t>
      </w:r>
      <w:r w:rsidR="00303C57" w:rsidRPr="005C36B8">
        <w:rPr>
          <w:rFonts w:ascii="Aptos" w:hAnsi="Aptos" w:cs="Arial"/>
          <w:sz w:val="22"/>
          <w:szCs w:val="22"/>
        </w:rPr>
        <w:t>base</w:t>
      </w:r>
      <w:r w:rsidRPr="001F6CC7">
        <w:rPr>
          <w:rFonts w:ascii="Aptos" w:hAnsi="Aptos" w:cs="Arial"/>
          <w:sz w:val="22"/>
          <w:szCs w:val="22"/>
        </w:rPr>
        <w:t xml:space="preserve"> case (</w:t>
      </w:r>
      <w:r w:rsidR="00967CAD" w:rsidRPr="005C36B8">
        <w:rPr>
          <w:rFonts w:ascii="Aptos" w:hAnsi="Aptos" w:cs="Arial"/>
          <w:sz w:val="22"/>
          <w:szCs w:val="22"/>
        </w:rPr>
        <w:t>Case</w:t>
      </w:r>
      <w:r w:rsidRPr="001F6CC7">
        <w:rPr>
          <w:rFonts w:ascii="Aptos" w:hAnsi="Aptos" w:cs="Arial"/>
          <w:sz w:val="22"/>
          <w:szCs w:val="22"/>
        </w:rPr>
        <w:t xml:space="preserve"> 0) </w:t>
      </w:r>
      <w:r w:rsidR="00860C8F" w:rsidRPr="001F6CC7">
        <w:rPr>
          <w:rFonts w:ascii="Aptos" w:hAnsi="Aptos" w:cs="Arial"/>
          <w:sz w:val="22"/>
          <w:szCs w:val="22"/>
        </w:rPr>
        <w:t>are</w:t>
      </w:r>
      <w:r w:rsidRPr="001F6CC7">
        <w:rPr>
          <w:rFonts w:ascii="Aptos" w:hAnsi="Aptos" w:cs="Arial"/>
          <w:sz w:val="22"/>
          <w:szCs w:val="22"/>
        </w:rPr>
        <w:t xml:space="preserve"> calculated using the </w:t>
      </w:r>
      <w:r w:rsidR="00B7620D" w:rsidRPr="001F6CC7">
        <w:rPr>
          <w:rFonts w:ascii="Aptos" w:hAnsi="Aptos" w:cs="Arial"/>
          <w:sz w:val="22"/>
          <w:szCs w:val="22"/>
        </w:rPr>
        <w:t>total</w:t>
      </w:r>
      <w:r w:rsidRPr="001F6CC7">
        <w:rPr>
          <w:rFonts w:ascii="Aptos" w:hAnsi="Aptos" w:cs="Arial"/>
          <w:sz w:val="22"/>
          <w:szCs w:val="22"/>
        </w:rPr>
        <w:t xml:space="preserve"> </w:t>
      </w:r>
      <w:r w:rsidR="00B264DC" w:rsidRPr="001F6CC7">
        <w:rPr>
          <w:rFonts w:ascii="Aptos" w:hAnsi="Aptos" w:cs="Arial"/>
          <w:sz w:val="22"/>
          <w:szCs w:val="22"/>
        </w:rPr>
        <w:t xml:space="preserve">system production costs plus </w:t>
      </w:r>
      <w:r w:rsidR="00B7620D" w:rsidRPr="001F6CC7">
        <w:rPr>
          <w:rFonts w:ascii="Aptos" w:hAnsi="Aptos" w:cs="Arial"/>
          <w:sz w:val="22"/>
          <w:szCs w:val="22"/>
        </w:rPr>
        <w:t xml:space="preserve">system expansion </w:t>
      </w:r>
      <w:r w:rsidR="002102F2" w:rsidRPr="001F6CC7">
        <w:rPr>
          <w:rFonts w:ascii="Aptos" w:hAnsi="Aptos" w:cs="Arial"/>
          <w:sz w:val="22"/>
          <w:szCs w:val="22"/>
        </w:rPr>
        <w:t>and environmental fixed</w:t>
      </w:r>
      <w:r w:rsidR="00B264DC" w:rsidRPr="001F6CC7">
        <w:rPr>
          <w:rFonts w:ascii="Aptos" w:hAnsi="Aptos" w:cs="Arial"/>
          <w:sz w:val="22"/>
          <w:szCs w:val="22"/>
        </w:rPr>
        <w:t xml:space="preserve"> </w:t>
      </w:r>
      <w:r w:rsidR="004647D9" w:rsidRPr="001F6CC7">
        <w:rPr>
          <w:rFonts w:ascii="Aptos" w:hAnsi="Aptos" w:cs="Arial"/>
          <w:sz w:val="22"/>
          <w:szCs w:val="22"/>
        </w:rPr>
        <w:t xml:space="preserve">costs, all </w:t>
      </w:r>
      <w:r w:rsidR="00B7620D" w:rsidRPr="001F6CC7">
        <w:rPr>
          <w:rFonts w:ascii="Aptos" w:hAnsi="Aptos" w:cs="Arial"/>
          <w:sz w:val="22"/>
          <w:szCs w:val="22"/>
        </w:rPr>
        <w:t xml:space="preserve">divided by total </w:t>
      </w:r>
      <w:r w:rsidR="00015379" w:rsidRPr="001F6CC7">
        <w:rPr>
          <w:rFonts w:ascii="Aptos" w:hAnsi="Aptos" w:cs="Arial"/>
          <w:sz w:val="22"/>
          <w:szCs w:val="22"/>
        </w:rPr>
        <w:t xml:space="preserve">system </w:t>
      </w:r>
      <w:r w:rsidR="00B7620D" w:rsidRPr="001F6CC7">
        <w:rPr>
          <w:rFonts w:ascii="Aptos" w:hAnsi="Aptos" w:cs="Arial"/>
          <w:sz w:val="22"/>
          <w:szCs w:val="22"/>
        </w:rPr>
        <w:t>kWh</w:t>
      </w:r>
      <w:r w:rsidR="00860C8F" w:rsidRPr="001F6CC7">
        <w:rPr>
          <w:rFonts w:ascii="Aptos" w:hAnsi="Aptos" w:cs="Arial"/>
          <w:sz w:val="22"/>
          <w:szCs w:val="22"/>
        </w:rPr>
        <w:t xml:space="preserve"> and then levelized</w:t>
      </w:r>
      <w:r w:rsidR="00B264DC" w:rsidRPr="001F6CC7">
        <w:rPr>
          <w:rFonts w:ascii="Aptos" w:hAnsi="Aptos" w:cs="Arial"/>
          <w:sz w:val="22"/>
          <w:szCs w:val="22"/>
        </w:rPr>
        <w:t>.</w:t>
      </w:r>
      <w:r w:rsidR="00123830" w:rsidRPr="001F6CC7">
        <w:rPr>
          <w:rFonts w:ascii="Aptos" w:hAnsi="Aptos" w:cs="Arial"/>
          <w:sz w:val="22"/>
          <w:szCs w:val="22"/>
        </w:rPr>
        <w:t xml:space="preserve"> </w:t>
      </w:r>
      <w:r w:rsidR="00B7620D" w:rsidRPr="001F6CC7">
        <w:rPr>
          <w:rFonts w:ascii="Aptos" w:hAnsi="Aptos" w:cs="Arial"/>
          <w:sz w:val="22"/>
          <w:szCs w:val="22"/>
        </w:rPr>
        <w:t>These values are provided for each</w:t>
      </w:r>
      <w:r w:rsidRPr="001F6CC7">
        <w:rPr>
          <w:rFonts w:ascii="Aptos" w:hAnsi="Aptos" w:cs="Arial"/>
          <w:sz w:val="22"/>
          <w:szCs w:val="22"/>
        </w:rPr>
        <w:t xml:space="preserve"> </w:t>
      </w:r>
      <w:r w:rsidR="00B7620D" w:rsidRPr="001F6CC7">
        <w:rPr>
          <w:rFonts w:ascii="Aptos" w:hAnsi="Aptos" w:cs="Arial"/>
          <w:sz w:val="22"/>
          <w:szCs w:val="22"/>
        </w:rPr>
        <w:t>sensitivity</w:t>
      </w:r>
      <w:r w:rsidR="00733AF7" w:rsidRPr="001F6CC7">
        <w:rPr>
          <w:rFonts w:ascii="Aptos" w:hAnsi="Aptos" w:cs="Arial"/>
          <w:sz w:val="22"/>
          <w:szCs w:val="22"/>
        </w:rPr>
        <w:t xml:space="preserve"> case</w:t>
      </w:r>
      <w:r w:rsidRPr="001F6CC7">
        <w:rPr>
          <w:rFonts w:ascii="Aptos" w:hAnsi="Aptos" w:cs="Arial"/>
          <w:sz w:val="22"/>
          <w:szCs w:val="22"/>
        </w:rPr>
        <w:t>.</w:t>
      </w:r>
      <w:r w:rsidR="00123830" w:rsidRPr="001F6CC7">
        <w:rPr>
          <w:rFonts w:ascii="Aptos" w:hAnsi="Aptos" w:cs="Arial"/>
          <w:sz w:val="22"/>
          <w:szCs w:val="22"/>
        </w:rPr>
        <w:t xml:space="preserve"> </w:t>
      </w:r>
      <w:r w:rsidR="00DB10BE" w:rsidRPr="001F6CC7">
        <w:rPr>
          <w:rFonts w:ascii="Aptos" w:hAnsi="Aptos" w:cs="Arial"/>
          <w:sz w:val="22"/>
          <w:szCs w:val="22"/>
        </w:rPr>
        <w:t xml:space="preserve">A summary table is provided </w:t>
      </w:r>
      <w:r w:rsidR="007679C5" w:rsidRPr="005C36B8">
        <w:rPr>
          <w:rFonts w:ascii="Aptos" w:hAnsi="Aptos" w:cs="Arial"/>
          <w:sz w:val="22"/>
          <w:szCs w:val="22"/>
        </w:rPr>
        <w:t xml:space="preserve">in “2025 IRP Financial Review TRADE SECRET.xlsx” </w:t>
      </w:r>
      <w:r w:rsidR="00DB10BE" w:rsidRPr="001F6CC7">
        <w:rPr>
          <w:rFonts w:ascii="Aptos" w:hAnsi="Aptos" w:cs="Arial"/>
          <w:sz w:val="22"/>
          <w:szCs w:val="22"/>
        </w:rPr>
        <w:t xml:space="preserve">with the </w:t>
      </w:r>
      <w:r w:rsidRPr="001F6CC7">
        <w:rPr>
          <w:rFonts w:ascii="Aptos" w:hAnsi="Aptos" w:cs="Arial"/>
          <w:sz w:val="22"/>
          <w:szCs w:val="22"/>
        </w:rPr>
        <w:t xml:space="preserve">results of the detailed calculations contained in </w:t>
      </w:r>
      <w:r w:rsidR="007679C5" w:rsidRPr="005C36B8">
        <w:rPr>
          <w:rFonts w:ascii="Aptos" w:hAnsi="Aptos" w:cs="Arial"/>
          <w:sz w:val="22"/>
          <w:szCs w:val="22"/>
        </w:rPr>
        <w:t>worksheets</w:t>
      </w:r>
      <w:r w:rsidRPr="005C36B8">
        <w:rPr>
          <w:rFonts w:ascii="Aptos" w:hAnsi="Aptos" w:cs="Arial"/>
          <w:sz w:val="22"/>
          <w:szCs w:val="22"/>
        </w:rPr>
        <w:t xml:space="preserve"> </w:t>
      </w:r>
      <w:r w:rsidR="007679C5" w:rsidRPr="005C36B8">
        <w:rPr>
          <w:rFonts w:ascii="Aptos" w:hAnsi="Aptos" w:cs="Arial"/>
          <w:sz w:val="22"/>
          <w:szCs w:val="22"/>
        </w:rPr>
        <w:t>“</w:t>
      </w:r>
      <w:r w:rsidRPr="001F6CC7">
        <w:rPr>
          <w:rFonts w:ascii="Aptos" w:hAnsi="Aptos" w:cs="Arial"/>
          <w:sz w:val="22"/>
          <w:szCs w:val="22"/>
        </w:rPr>
        <w:t>0</w:t>
      </w:r>
      <w:r w:rsidR="007679C5" w:rsidRPr="005C36B8">
        <w:rPr>
          <w:rFonts w:ascii="Aptos" w:hAnsi="Aptos" w:cs="Arial"/>
          <w:sz w:val="22"/>
          <w:szCs w:val="22"/>
        </w:rPr>
        <w:t>”</w:t>
      </w:r>
      <w:r w:rsidRPr="001F6CC7">
        <w:rPr>
          <w:rFonts w:ascii="Aptos" w:hAnsi="Aptos" w:cs="Arial"/>
          <w:sz w:val="22"/>
          <w:szCs w:val="22"/>
        </w:rPr>
        <w:t xml:space="preserve"> through </w:t>
      </w:r>
      <w:r w:rsidR="007679C5" w:rsidRPr="005C36B8">
        <w:rPr>
          <w:rFonts w:ascii="Aptos" w:hAnsi="Aptos" w:cs="Arial"/>
          <w:sz w:val="22"/>
          <w:szCs w:val="22"/>
        </w:rPr>
        <w:t>“</w:t>
      </w:r>
      <w:r w:rsidR="008E4A3B" w:rsidRPr="001F6CC7">
        <w:rPr>
          <w:rFonts w:ascii="Aptos" w:hAnsi="Aptos" w:cs="Arial"/>
          <w:sz w:val="22"/>
          <w:szCs w:val="22"/>
        </w:rPr>
        <w:t>1</w:t>
      </w:r>
      <w:r w:rsidR="005402DE" w:rsidRPr="001F6CC7">
        <w:rPr>
          <w:rFonts w:ascii="Aptos" w:hAnsi="Aptos" w:cs="Arial"/>
          <w:sz w:val="22"/>
          <w:szCs w:val="22"/>
        </w:rPr>
        <w:t>2</w:t>
      </w:r>
      <w:r w:rsidRPr="005C36B8">
        <w:rPr>
          <w:rFonts w:ascii="Aptos" w:hAnsi="Aptos" w:cs="Arial"/>
          <w:sz w:val="22"/>
          <w:szCs w:val="22"/>
        </w:rPr>
        <w:t>.</w:t>
      </w:r>
      <w:r w:rsidR="007679C5" w:rsidRPr="005C36B8">
        <w:rPr>
          <w:rFonts w:ascii="Aptos" w:hAnsi="Aptos" w:cs="Arial"/>
          <w:sz w:val="22"/>
          <w:szCs w:val="22"/>
        </w:rPr>
        <w:t>”</w:t>
      </w:r>
      <w:r w:rsidR="00123830" w:rsidRPr="005C36B8">
        <w:rPr>
          <w:rFonts w:ascii="Aptos" w:hAnsi="Aptos" w:cs="Arial"/>
          <w:sz w:val="22"/>
          <w:szCs w:val="22"/>
        </w:rPr>
        <w:t xml:space="preserve"> </w:t>
      </w:r>
      <w:r w:rsidR="00DE6AE0" w:rsidRPr="005C36B8">
        <w:rPr>
          <w:rFonts w:ascii="Aptos" w:hAnsi="Aptos" w:cs="Arial"/>
          <w:sz w:val="22"/>
          <w:szCs w:val="22"/>
        </w:rPr>
        <w:t>Th</w:t>
      </w:r>
      <w:r w:rsidR="009D52F4" w:rsidRPr="005C36B8">
        <w:rPr>
          <w:rFonts w:ascii="Aptos" w:hAnsi="Aptos" w:cs="Arial"/>
          <w:sz w:val="22"/>
          <w:szCs w:val="22"/>
        </w:rPr>
        <w:t>e summary</w:t>
      </w:r>
      <w:r w:rsidR="00DE6AE0" w:rsidRPr="001F6CC7">
        <w:rPr>
          <w:rFonts w:ascii="Aptos" w:hAnsi="Aptos" w:cs="Arial"/>
          <w:sz w:val="22"/>
          <w:szCs w:val="22"/>
        </w:rPr>
        <w:t xml:space="preserve"> table also provides a percentage comparison of each sensitivity</w:t>
      </w:r>
      <w:r w:rsidR="00733AF7" w:rsidRPr="001F6CC7">
        <w:rPr>
          <w:rFonts w:ascii="Aptos" w:hAnsi="Aptos" w:cs="Arial"/>
          <w:sz w:val="22"/>
          <w:szCs w:val="22"/>
        </w:rPr>
        <w:t xml:space="preserve"> case</w:t>
      </w:r>
      <w:r w:rsidR="00DE6AE0" w:rsidRPr="001F6CC7">
        <w:rPr>
          <w:rFonts w:ascii="Aptos" w:hAnsi="Aptos" w:cs="Arial"/>
          <w:sz w:val="22"/>
          <w:szCs w:val="22"/>
        </w:rPr>
        <w:t xml:space="preserve"> </w:t>
      </w:r>
      <w:r w:rsidR="00733AF7" w:rsidRPr="001F6CC7">
        <w:rPr>
          <w:rFonts w:ascii="Aptos" w:hAnsi="Aptos" w:cs="Arial"/>
          <w:sz w:val="22"/>
          <w:szCs w:val="22"/>
        </w:rPr>
        <w:t>to</w:t>
      </w:r>
      <w:r w:rsidR="00DE6AE0" w:rsidRPr="001F6CC7">
        <w:rPr>
          <w:rFonts w:ascii="Aptos" w:hAnsi="Aptos" w:cs="Arial"/>
          <w:sz w:val="22"/>
          <w:szCs w:val="22"/>
        </w:rPr>
        <w:t xml:space="preserve"> the </w:t>
      </w:r>
      <w:r w:rsidR="00303C57" w:rsidRPr="005C36B8">
        <w:rPr>
          <w:rFonts w:ascii="Aptos" w:hAnsi="Aptos" w:cs="Arial"/>
          <w:sz w:val="22"/>
          <w:szCs w:val="22"/>
        </w:rPr>
        <w:t>IRP base</w:t>
      </w:r>
      <w:r w:rsidR="00DE6AE0" w:rsidRPr="001F6CC7">
        <w:rPr>
          <w:rFonts w:ascii="Aptos" w:hAnsi="Aptos" w:cs="Arial"/>
          <w:sz w:val="22"/>
          <w:szCs w:val="22"/>
        </w:rPr>
        <w:t xml:space="preserve"> case.</w:t>
      </w:r>
    </w:p>
    <w:p w14:paraId="553D6AC0" w14:textId="77777777" w:rsidR="008C3499" w:rsidRPr="001F6CC7" w:rsidRDefault="008C3499" w:rsidP="008C3499">
      <w:pPr>
        <w:pStyle w:val="BodyText"/>
        <w:rPr>
          <w:rFonts w:ascii="Aptos" w:hAnsi="Aptos" w:cs="Arial"/>
          <w:color w:val="FF0000"/>
          <w:sz w:val="22"/>
          <w:szCs w:val="22"/>
        </w:rPr>
      </w:pPr>
    </w:p>
    <w:p w14:paraId="3035276F" w14:textId="77777777" w:rsidR="008C3499" w:rsidRPr="001F6CC7" w:rsidRDefault="008C3499" w:rsidP="0018670A">
      <w:pPr>
        <w:pStyle w:val="Heading2"/>
      </w:pPr>
      <w:r w:rsidRPr="001F6CC7">
        <w:t>B.</w:t>
      </w:r>
      <w:r w:rsidR="004647D9" w:rsidRPr="001F6CC7">
        <w:t>4</w:t>
      </w:r>
      <w:r w:rsidR="00E43894" w:rsidRPr="001F6CC7">
        <w:t xml:space="preserve">. </w:t>
      </w:r>
      <w:r w:rsidRPr="001F6CC7">
        <w:t xml:space="preserve"> Overall Assessment of the Business and Financial Risks</w:t>
      </w:r>
    </w:p>
    <w:p w14:paraId="0575AAE8" w14:textId="714893A0" w:rsidR="008C3499" w:rsidRPr="001F6CC7" w:rsidRDefault="008C3499" w:rsidP="0059752F">
      <w:pPr>
        <w:pStyle w:val="BodyText"/>
        <w:keepNext/>
        <w:jc w:val="both"/>
        <w:rPr>
          <w:rFonts w:ascii="Aptos" w:hAnsi="Aptos" w:cs="Arial"/>
          <w:sz w:val="22"/>
          <w:szCs w:val="22"/>
        </w:rPr>
      </w:pPr>
      <w:r w:rsidRPr="005C36B8">
        <w:rPr>
          <w:rFonts w:ascii="Aptos" w:hAnsi="Aptos" w:cs="Arial"/>
          <w:sz w:val="22"/>
          <w:szCs w:val="22"/>
        </w:rPr>
        <w:t xml:space="preserve">Georgia Power </w:t>
      </w:r>
      <w:r w:rsidR="00CF38BF" w:rsidRPr="005C36B8">
        <w:rPr>
          <w:rFonts w:ascii="Aptos" w:hAnsi="Aptos" w:cs="Arial"/>
          <w:sz w:val="22"/>
          <w:szCs w:val="22"/>
        </w:rPr>
        <w:t xml:space="preserve">Company </w:t>
      </w:r>
      <w:r w:rsidR="00071619" w:rsidRPr="005C36B8">
        <w:rPr>
          <w:rFonts w:ascii="Aptos" w:hAnsi="Aptos" w:cs="Arial"/>
          <w:sz w:val="22"/>
          <w:szCs w:val="22"/>
        </w:rPr>
        <w:t>(“Georgia Power” or the “Company”)</w:t>
      </w:r>
      <w:r w:rsidRPr="001F6CC7">
        <w:rPr>
          <w:rFonts w:ascii="Aptos" w:hAnsi="Aptos" w:cs="Arial"/>
          <w:sz w:val="22"/>
          <w:szCs w:val="22"/>
        </w:rPr>
        <w:t xml:space="preserve"> and </w:t>
      </w:r>
      <w:r w:rsidR="00873E25" w:rsidRPr="001F6CC7">
        <w:rPr>
          <w:rFonts w:ascii="Aptos" w:hAnsi="Aptos" w:cs="Arial"/>
          <w:sz w:val="22"/>
          <w:szCs w:val="22"/>
        </w:rPr>
        <w:t>its</w:t>
      </w:r>
      <w:r w:rsidRPr="001F6CC7">
        <w:rPr>
          <w:rFonts w:ascii="Aptos" w:hAnsi="Aptos" w:cs="Arial"/>
          <w:sz w:val="22"/>
          <w:szCs w:val="22"/>
        </w:rPr>
        <w:t xml:space="preserve"> customers face risks related to loads (and resulting generation requirements), fuel and technology prices and availability, and environmental laws and regulations.</w:t>
      </w:r>
      <w:r w:rsidR="00123830" w:rsidRPr="001F6CC7">
        <w:rPr>
          <w:rFonts w:ascii="Aptos" w:hAnsi="Aptos" w:cs="Arial"/>
          <w:sz w:val="22"/>
          <w:szCs w:val="22"/>
        </w:rPr>
        <w:t xml:space="preserve"> </w:t>
      </w:r>
      <w:r w:rsidRPr="001F6CC7">
        <w:rPr>
          <w:rFonts w:ascii="Aptos" w:hAnsi="Aptos" w:cs="Arial"/>
          <w:sz w:val="22"/>
          <w:szCs w:val="22"/>
        </w:rPr>
        <w:t>The previously described analysis presents an assessment of the resulting cost uncertainty.</w:t>
      </w:r>
    </w:p>
    <w:p w14:paraId="0E2A4B5F" w14:textId="77777777" w:rsidR="008C3499" w:rsidRPr="001F6CC7" w:rsidRDefault="008C3499" w:rsidP="0059752F">
      <w:pPr>
        <w:pStyle w:val="BodyText"/>
        <w:jc w:val="both"/>
        <w:rPr>
          <w:rFonts w:ascii="Aptos" w:hAnsi="Aptos" w:cs="Arial"/>
          <w:sz w:val="22"/>
          <w:szCs w:val="22"/>
        </w:rPr>
      </w:pPr>
    </w:p>
    <w:p w14:paraId="079A31C1" w14:textId="515D8E6E" w:rsidR="00636E20" w:rsidRPr="001F6CC7" w:rsidRDefault="008C3499" w:rsidP="0059752F">
      <w:pPr>
        <w:pStyle w:val="BodyText"/>
        <w:jc w:val="both"/>
        <w:rPr>
          <w:rFonts w:ascii="Aptos" w:hAnsi="Aptos" w:cs="Arial"/>
          <w:sz w:val="22"/>
          <w:szCs w:val="22"/>
        </w:rPr>
      </w:pPr>
      <w:r w:rsidRPr="001F6CC7">
        <w:rPr>
          <w:rFonts w:ascii="Aptos" w:hAnsi="Aptos" w:cs="Arial"/>
          <w:sz w:val="22"/>
          <w:szCs w:val="22"/>
        </w:rPr>
        <w:t>Additionally, new generation resources to serve Georgia Power</w:t>
      </w:r>
      <w:r w:rsidR="00F614C2" w:rsidRPr="001F6CC7">
        <w:rPr>
          <w:rFonts w:ascii="Aptos" w:hAnsi="Aptos" w:cs="Arial"/>
          <w:sz w:val="22"/>
          <w:szCs w:val="22"/>
        </w:rPr>
        <w:t>’s</w:t>
      </w:r>
      <w:r w:rsidRPr="001F6CC7">
        <w:rPr>
          <w:rFonts w:ascii="Aptos" w:hAnsi="Aptos" w:cs="Arial"/>
          <w:sz w:val="22"/>
          <w:szCs w:val="22"/>
        </w:rPr>
        <w:t xml:space="preserve"> regulated customers are </w:t>
      </w:r>
      <w:r w:rsidR="00F1444B" w:rsidRPr="001F6CC7">
        <w:rPr>
          <w:rFonts w:ascii="Aptos" w:hAnsi="Aptos" w:cs="Arial"/>
          <w:sz w:val="22"/>
          <w:szCs w:val="22"/>
        </w:rPr>
        <w:t xml:space="preserve">generally </w:t>
      </w:r>
      <w:r w:rsidRPr="001F6CC7">
        <w:rPr>
          <w:rFonts w:ascii="Aptos" w:hAnsi="Aptos" w:cs="Arial"/>
          <w:sz w:val="22"/>
          <w:szCs w:val="22"/>
        </w:rPr>
        <w:t xml:space="preserve">being acquired through a competitive bidding process at </w:t>
      </w:r>
      <w:r w:rsidR="124724CB" w:rsidRPr="001F6CC7">
        <w:rPr>
          <w:rFonts w:ascii="Aptos" w:hAnsi="Aptos" w:cs="Arial"/>
          <w:sz w:val="22"/>
          <w:szCs w:val="22"/>
        </w:rPr>
        <w:t xml:space="preserve">market prices and can result in either power purchase agreements or </w:t>
      </w:r>
      <w:r w:rsidR="00071619" w:rsidRPr="005C36B8">
        <w:rPr>
          <w:rFonts w:ascii="Aptos" w:hAnsi="Aptos" w:cs="Arial"/>
          <w:sz w:val="22"/>
          <w:szCs w:val="22"/>
        </w:rPr>
        <w:t>C</w:t>
      </w:r>
      <w:r w:rsidR="124724CB" w:rsidRPr="005C36B8">
        <w:rPr>
          <w:rFonts w:ascii="Aptos" w:hAnsi="Aptos" w:cs="Arial"/>
          <w:sz w:val="22"/>
          <w:szCs w:val="22"/>
        </w:rPr>
        <w:t>ompany</w:t>
      </w:r>
      <w:r w:rsidR="00071619" w:rsidRPr="005C36B8">
        <w:rPr>
          <w:rFonts w:ascii="Aptos" w:hAnsi="Aptos" w:cs="Arial"/>
          <w:sz w:val="22"/>
          <w:szCs w:val="22"/>
        </w:rPr>
        <w:t>-</w:t>
      </w:r>
      <w:r w:rsidR="124724CB" w:rsidRPr="001F6CC7">
        <w:rPr>
          <w:rFonts w:ascii="Aptos" w:hAnsi="Aptos" w:cs="Arial"/>
          <w:sz w:val="22"/>
          <w:szCs w:val="22"/>
        </w:rPr>
        <w:t>owned proposals being selected</w:t>
      </w:r>
      <w:r w:rsidR="089E4848" w:rsidRPr="001F6CC7">
        <w:rPr>
          <w:rFonts w:ascii="Aptos" w:hAnsi="Aptos" w:cs="Arial"/>
          <w:sz w:val="22"/>
          <w:szCs w:val="22"/>
        </w:rPr>
        <w:t>.</w:t>
      </w:r>
      <w:r w:rsidR="00123830" w:rsidRPr="001F6CC7">
        <w:rPr>
          <w:rFonts w:ascii="Aptos" w:hAnsi="Aptos" w:cs="Arial"/>
          <w:sz w:val="22"/>
          <w:szCs w:val="22"/>
        </w:rPr>
        <w:t xml:space="preserve"> </w:t>
      </w:r>
      <w:r w:rsidRPr="001F6CC7">
        <w:rPr>
          <w:rFonts w:ascii="Aptos" w:hAnsi="Aptos" w:cs="Arial"/>
          <w:sz w:val="22"/>
          <w:szCs w:val="22"/>
        </w:rPr>
        <w:t>This approach to generation procurement helps to mitigate the business and financial risks related to new generation</w:t>
      </w:r>
      <w:r w:rsidR="001B2375" w:rsidRPr="001F6CC7">
        <w:rPr>
          <w:rFonts w:ascii="Aptos" w:hAnsi="Aptos" w:cs="Arial"/>
          <w:sz w:val="22"/>
          <w:szCs w:val="22"/>
        </w:rPr>
        <w:t>.</w:t>
      </w:r>
    </w:p>
    <w:sectPr w:rsidR="00636E20" w:rsidRPr="001F6CC7" w:rsidSect="0059752F">
      <w:headerReference w:type="default" r:id="rId8"/>
      <w:footerReference w:type="default" r:id="rId9"/>
      <w:pgSz w:w="12240" w:h="15840" w:code="1"/>
      <w:pgMar w:top="1440" w:right="1440" w:bottom="1440" w:left="1440"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8BF6939" w14:textId="77777777" w:rsidR="00BB4097" w:rsidRDefault="00BB4097">
      <w:r>
        <w:separator/>
      </w:r>
    </w:p>
  </w:endnote>
  <w:endnote w:type="continuationSeparator" w:id="0">
    <w:p w14:paraId="05BE43D4" w14:textId="77777777" w:rsidR="00BB4097" w:rsidRDefault="00BB4097">
      <w:r>
        <w:continuationSeparator/>
      </w:r>
    </w:p>
  </w:endnote>
  <w:endnote w:type="continuationNotice" w:id="1">
    <w:p w14:paraId="08A680D5" w14:textId="77777777" w:rsidR="00BB4097" w:rsidRDefault="00BB409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539AA4" w14:textId="77777777" w:rsidR="001846D4" w:rsidRPr="00346E4A" w:rsidRDefault="00823118" w:rsidP="00823118">
    <w:pPr>
      <w:pStyle w:val="Footer"/>
      <w:jc w:val="right"/>
      <w:rPr>
        <w:rFonts w:ascii="Aptos" w:hAnsi="Aptos"/>
        <w:sz w:val="22"/>
        <w:szCs w:val="18"/>
      </w:rPr>
    </w:pPr>
    <w:r w:rsidRPr="00346E4A">
      <w:rPr>
        <w:rFonts w:ascii="Aptos" w:hAnsi="Aptos"/>
        <w:sz w:val="22"/>
        <w:szCs w:val="18"/>
      </w:rPr>
      <w:fldChar w:fldCharType="begin"/>
    </w:r>
    <w:r w:rsidRPr="00346E4A">
      <w:rPr>
        <w:rFonts w:ascii="Aptos" w:hAnsi="Aptos"/>
        <w:sz w:val="22"/>
        <w:szCs w:val="18"/>
      </w:rPr>
      <w:instrText xml:space="preserve"> PAGE   \* MERGEFORMAT </w:instrText>
    </w:r>
    <w:r w:rsidRPr="00346E4A">
      <w:rPr>
        <w:rFonts w:ascii="Aptos" w:hAnsi="Aptos"/>
        <w:sz w:val="22"/>
        <w:szCs w:val="18"/>
      </w:rPr>
      <w:fldChar w:fldCharType="separate"/>
    </w:r>
    <w:r w:rsidRPr="00346E4A">
      <w:rPr>
        <w:rFonts w:ascii="Aptos" w:hAnsi="Aptos"/>
        <w:noProof/>
        <w:sz w:val="22"/>
        <w:szCs w:val="18"/>
      </w:rPr>
      <w:t>1</w:t>
    </w:r>
    <w:r w:rsidRPr="00346E4A">
      <w:rPr>
        <w:rFonts w:ascii="Aptos" w:hAnsi="Aptos"/>
        <w:noProof/>
        <w:sz w:val="22"/>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C600D6" w14:textId="77777777" w:rsidR="00BB4097" w:rsidRDefault="00BB4097">
      <w:r>
        <w:separator/>
      </w:r>
    </w:p>
  </w:footnote>
  <w:footnote w:type="continuationSeparator" w:id="0">
    <w:p w14:paraId="53264ED5" w14:textId="77777777" w:rsidR="00BB4097" w:rsidRDefault="00BB4097">
      <w:r>
        <w:continuationSeparator/>
      </w:r>
    </w:p>
  </w:footnote>
  <w:footnote w:type="continuationNotice" w:id="1">
    <w:p w14:paraId="61AD6B9C" w14:textId="77777777" w:rsidR="00BB4097" w:rsidRDefault="00BB4097"/>
  </w:footnote>
  <w:footnote w:id="2">
    <w:p w14:paraId="5FC7E9E2" w14:textId="08CC8679" w:rsidR="002077EC" w:rsidRPr="00DF0C6C" w:rsidRDefault="002077EC" w:rsidP="00332DB9">
      <w:pPr>
        <w:pStyle w:val="FootnoteText"/>
        <w:jc w:val="left"/>
        <w:rPr>
          <w:rFonts w:ascii="Aptos" w:hAnsi="Aptos"/>
          <w:sz w:val="20"/>
        </w:rPr>
      </w:pPr>
      <w:r w:rsidRPr="00DF0C6C">
        <w:rPr>
          <w:rStyle w:val="FootnoteReference"/>
          <w:rFonts w:ascii="Aptos" w:hAnsi="Aptos"/>
          <w:sz w:val="20"/>
        </w:rPr>
        <w:footnoteRef/>
      </w:r>
      <w:r w:rsidRPr="00DF0C6C">
        <w:rPr>
          <w:rFonts w:ascii="Aptos" w:hAnsi="Aptos"/>
          <w:sz w:val="20"/>
        </w:rPr>
        <w:t xml:space="preserve"> See the </w:t>
      </w:r>
      <w:r w:rsidR="004643C2">
        <w:rPr>
          <w:rFonts w:ascii="Aptos" w:hAnsi="Aptos"/>
          <w:sz w:val="20"/>
        </w:rPr>
        <w:t xml:space="preserve">high growth in large load customers sensitivity in the </w:t>
      </w:r>
      <w:r w:rsidR="00F2601F">
        <w:rPr>
          <w:rFonts w:ascii="Aptos" w:hAnsi="Aptos"/>
          <w:sz w:val="20"/>
        </w:rPr>
        <w:t xml:space="preserve">Budget 2025 (“B2025”) </w:t>
      </w:r>
      <w:r w:rsidRPr="00DF0C6C">
        <w:rPr>
          <w:rFonts w:ascii="Aptos" w:hAnsi="Aptos"/>
          <w:sz w:val="20"/>
        </w:rPr>
        <w:t>Load and Energy Forecast in Technical Appendix Volume 1 for details.</w:t>
      </w:r>
    </w:p>
  </w:footnote>
  <w:footnote w:id="3">
    <w:p w14:paraId="4AC52A03" w14:textId="010384C6" w:rsidR="002077EC" w:rsidRPr="00DF0C6C" w:rsidRDefault="002077EC" w:rsidP="00332DB9">
      <w:pPr>
        <w:pStyle w:val="FootnoteText"/>
        <w:jc w:val="left"/>
        <w:rPr>
          <w:rFonts w:ascii="Aptos" w:hAnsi="Aptos"/>
          <w:sz w:val="20"/>
        </w:rPr>
      </w:pPr>
      <w:r w:rsidRPr="00DF0C6C">
        <w:rPr>
          <w:rStyle w:val="FootnoteReference"/>
          <w:rFonts w:ascii="Aptos" w:hAnsi="Aptos"/>
          <w:sz w:val="20"/>
        </w:rPr>
        <w:footnoteRef/>
      </w:r>
      <w:r w:rsidRPr="00DF0C6C">
        <w:rPr>
          <w:rFonts w:ascii="Aptos" w:hAnsi="Aptos"/>
          <w:sz w:val="20"/>
        </w:rPr>
        <w:t xml:space="preserve"> See Chapter 7 of the Main Document for a description of th</w:t>
      </w:r>
      <w:r w:rsidR="003B76AA" w:rsidRPr="00DF0C6C">
        <w:rPr>
          <w:rFonts w:ascii="Aptos" w:hAnsi="Aptos"/>
          <w:sz w:val="20"/>
        </w:rPr>
        <w:t xml:space="preserve">e </w:t>
      </w:r>
      <w:r w:rsidR="00AD66C2">
        <w:rPr>
          <w:rFonts w:ascii="Aptos" w:hAnsi="Aptos"/>
          <w:sz w:val="20"/>
        </w:rPr>
        <w:t xml:space="preserve">DSM Working Group Advocacy </w:t>
      </w:r>
      <w:r w:rsidR="009C659B">
        <w:rPr>
          <w:rFonts w:ascii="Aptos" w:hAnsi="Aptos"/>
          <w:sz w:val="20"/>
        </w:rPr>
        <w:t xml:space="preserve">(“DSMWG”) </w:t>
      </w:r>
      <w:r w:rsidR="00240264" w:rsidRPr="00DF0C6C">
        <w:rPr>
          <w:rFonts w:ascii="Aptos" w:hAnsi="Aptos"/>
          <w:sz w:val="20"/>
        </w:rPr>
        <w:t>case</w:t>
      </w:r>
      <w:r w:rsidRPr="00DF0C6C">
        <w:rPr>
          <w:rFonts w:ascii="Aptos" w:hAnsi="Aptos"/>
          <w:sz w:val="20"/>
        </w:rPr>
        <w:t>.</w:t>
      </w:r>
    </w:p>
  </w:footnote>
  <w:footnote w:id="4">
    <w:p w14:paraId="4106A5B0" w14:textId="07115B30" w:rsidR="002077EC" w:rsidRPr="00DF0C6C" w:rsidRDefault="002077EC" w:rsidP="00332DB9">
      <w:pPr>
        <w:pStyle w:val="FootnoteText"/>
        <w:jc w:val="left"/>
        <w:rPr>
          <w:rFonts w:ascii="Aptos" w:hAnsi="Aptos"/>
          <w:sz w:val="20"/>
        </w:rPr>
      </w:pPr>
      <w:r w:rsidRPr="00DF0C6C">
        <w:rPr>
          <w:rStyle w:val="FootnoteReference"/>
          <w:rFonts w:ascii="Aptos" w:hAnsi="Aptos"/>
          <w:sz w:val="20"/>
        </w:rPr>
        <w:footnoteRef/>
      </w:r>
      <w:r w:rsidRPr="00DF0C6C">
        <w:rPr>
          <w:rFonts w:ascii="Aptos" w:hAnsi="Aptos"/>
          <w:sz w:val="20"/>
        </w:rPr>
        <w:t xml:space="preserve"> </w:t>
      </w:r>
      <w:r w:rsidR="007A2751" w:rsidRPr="007A2751">
        <w:rPr>
          <w:rFonts w:ascii="Aptos" w:hAnsi="Aptos"/>
          <w:sz w:val="20"/>
        </w:rPr>
        <w:t xml:space="preserve">The Economy Energy Purchase </w:t>
      </w:r>
      <w:r w:rsidR="007A2751">
        <w:rPr>
          <w:rFonts w:ascii="Aptos" w:hAnsi="Aptos"/>
          <w:sz w:val="20"/>
        </w:rPr>
        <w:t>case</w:t>
      </w:r>
      <w:r w:rsidR="007A2751" w:rsidRPr="007A2751">
        <w:rPr>
          <w:rFonts w:ascii="Aptos" w:hAnsi="Aptos"/>
          <w:sz w:val="20"/>
        </w:rPr>
        <w:t xml:space="preserve"> </w:t>
      </w:r>
      <w:r w:rsidR="007A2751">
        <w:rPr>
          <w:rFonts w:ascii="Aptos" w:hAnsi="Aptos"/>
          <w:sz w:val="20"/>
        </w:rPr>
        <w:t xml:space="preserve">considers </w:t>
      </w:r>
      <w:r w:rsidR="007A2751" w:rsidRPr="007A2751">
        <w:rPr>
          <w:rFonts w:ascii="Aptos" w:hAnsi="Aptos"/>
          <w:sz w:val="20"/>
        </w:rPr>
        <w:t xml:space="preserve">the impact of an energy-only purchase. </w:t>
      </w:r>
      <w:r w:rsidR="00CD5CB2" w:rsidRPr="00CD5CB2">
        <w:rPr>
          <w:rFonts w:ascii="Aptos" w:hAnsi="Aptos"/>
          <w:sz w:val="20"/>
        </w:rPr>
        <w:t xml:space="preserve">The </w:t>
      </w:r>
      <w:r w:rsidR="00582475">
        <w:rPr>
          <w:rFonts w:ascii="Aptos" w:hAnsi="Aptos"/>
          <w:sz w:val="20"/>
        </w:rPr>
        <w:t>purchase</w:t>
      </w:r>
      <w:r w:rsidR="00DB7900">
        <w:rPr>
          <w:rFonts w:ascii="Aptos" w:hAnsi="Aptos"/>
          <w:sz w:val="20"/>
        </w:rPr>
        <w:t xml:space="preserve"> </w:t>
      </w:r>
      <w:r w:rsidR="00CD5CB2" w:rsidRPr="00CD5CB2">
        <w:rPr>
          <w:rFonts w:ascii="Aptos" w:hAnsi="Aptos"/>
          <w:sz w:val="20"/>
        </w:rPr>
        <w:t>is represented as 5</w:t>
      </w:r>
      <w:r w:rsidR="00642709">
        <w:rPr>
          <w:rFonts w:ascii="Aptos" w:hAnsi="Aptos"/>
          <w:sz w:val="20"/>
        </w:rPr>
        <w:t xml:space="preserve">-day </w:t>
      </w:r>
      <w:r w:rsidR="001A7479">
        <w:rPr>
          <w:rFonts w:ascii="Aptos" w:hAnsi="Aptos"/>
          <w:sz w:val="20"/>
        </w:rPr>
        <w:t>by</w:t>
      </w:r>
      <w:r w:rsidR="00CD5CB2" w:rsidRPr="00CD5CB2">
        <w:rPr>
          <w:rFonts w:ascii="Aptos" w:hAnsi="Aptos"/>
          <w:sz w:val="20"/>
        </w:rPr>
        <w:t xml:space="preserve"> 16</w:t>
      </w:r>
      <w:r w:rsidR="00642709">
        <w:rPr>
          <w:rFonts w:ascii="Aptos" w:hAnsi="Aptos"/>
          <w:sz w:val="20"/>
        </w:rPr>
        <w:t>-hour</w:t>
      </w:r>
      <w:r w:rsidR="00CD5CB2" w:rsidRPr="00CD5CB2">
        <w:rPr>
          <w:rFonts w:ascii="Aptos" w:hAnsi="Aptos"/>
          <w:sz w:val="20"/>
        </w:rPr>
        <w:t xml:space="preserve"> </w:t>
      </w:r>
      <w:r w:rsidR="001A7479">
        <w:rPr>
          <w:rFonts w:ascii="Aptos" w:hAnsi="Aptos"/>
          <w:sz w:val="20"/>
        </w:rPr>
        <w:t>strips of</w:t>
      </w:r>
      <w:r w:rsidR="00424244">
        <w:rPr>
          <w:rFonts w:ascii="Aptos" w:hAnsi="Aptos"/>
          <w:sz w:val="20"/>
        </w:rPr>
        <w:t xml:space="preserve"> must-take</w:t>
      </w:r>
      <w:r w:rsidR="001A7479">
        <w:rPr>
          <w:rFonts w:ascii="Aptos" w:hAnsi="Aptos"/>
          <w:sz w:val="20"/>
        </w:rPr>
        <w:t xml:space="preserve"> </w:t>
      </w:r>
      <w:r w:rsidR="00CD5CB2" w:rsidRPr="00CD5CB2">
        <w:rPr>
          <w:rFonts w:ascii="Aptos" w:hAnsi="Aptos"/>
          <w:sz w:val="20"/>
        </w:rPr>
        <w:t>energy</w:t>
      </w:r>
      <w:r w:rsidR="00CE7354">
        <w:rPr>
          <w:rFonts w:ascii="Aptos" w:hAnsi="Aptos"/>
          <w:sz w:val="20"/>
        </w:rPr>
        <w:t xml:space="preserve"> (</w:t>
      </w:r>
      <w:r w:rsidR="00CD5CB2" w:rsidRPr="00CD5CB2">
        <w:rPr>
          <w:rFonts w:ascii="Aptos" w:hAnsi="Aptos"/>
          <w:sz w:val="20"/>
        </w:rPr>
        <w:t>1</w:t>
      </w:r>
      <w:r w:rsidR="00825C2D">
        <w:rPr>
          <w:rFonts w:ascii="Aptos" w:hAnsi="Aptos"/>
          <w:sz w:val="20"/>
        </w:rPr>
        <w:t>,</w:t>
      </w:r>
      <w:r w:rsidR="00CD5CB2" w:rsidRPr="00CD5CB2">
        <w:rPr>
          <w:rFonts w:ascii="Aptos" w:hAnsi="Aptos"/>
          <w:sz w:val="20"/>
        </w:rPr>
        <w:t>000 MW in summer months (May - September) and 1</w:t>
      </w:r>
      <w:r w:rsidR="00825C2D">
        <w:rPr>
          <w:rFonts w:ascii="Aptos" w:hAnsi="Aptos"/>
          <w:sz w:val="20"/>
        </w:rPr>
        <w:t>,</w:t>
      </w:r>
      <w:r w:rsidR="00CD5CB2" w:rsidRPr="00CD5CB2">
        <w:rPr>
          <w:rFonts w:ascii="Aptos" w:hAnsi="Aptos"/>
          <w:sz w:val="20"/>
        </w:rPr>
        <w:t>500 MW in non-summer months (October – April)</w:t>
      </w:r>
      <w:r w:rsidR="00CE7354">
        <w:rPr>
          <w:rFonts w:ascii="Aptos" w:hAnsi="Aptos"/>
          <w:sz w:val="20"/>
        </w:rPr>
        <w:t>)</w:t>
      </w:r>
      <w:r w:rsidR="00CD5CB2" w:rsidRPr="00CD5CB2">
        <w:rPr>
          <w:rFonts w:ascii="Aptos" w:hAnsi="Aptos"/>
          <w:sz w:val="20"/>
        </w:rPr>
        <w:t xml:space="preserve"> throughout the planning horizon.</w:t>
      </w:r>
    </w:p>
  </w:footnote>
  <w:footnote w:id="5">
    <w:p w14:paraId="19F5BA61" w14:textId="19F5B902" w:rsidR="009F7CF7" w:rsidRPr="00235589" w:rsidRDefault="009F7CF7" w:rsidP="00BF40C0">
      <w:pPr>
        <w:pStyle w:val="FootnoteText"/>
        <w:jc w:val="left"/>
        <w:rPr>
          <w:rFonts w:ascii="Aptos" w:hAnsi="Aptos"/>
        </w:rPr>
      </w:pPr>
      <w:r w:rsidRPr="00BF40C0">
        <w:rPr>
          <w:rStyle w:val="FootnoteReference"/>
          <w:rFonts w:ascii="Aptos" w:hAnsi="Aptos"/>
          <w:sz w:val="20"/>
          <w:szCs w:val="16"/>
        </w:rPr>
        <w:footnoteRef/>
      </w:r>
      <w:r w:rsidRPr="00BF40C0">
        <w:rPr>
          <w:rFonts w:ascii="Aptos" w:hAnsi="Aptos"/>
          <w:sz w:val="20"/>
          <w:szCs w:val="16"/>
        </w:rPr>
        <w:t xml:space="preserve"> See Georgia Public Service Commission Rule </w:t>
      </w:r>
      <w:r w:rsidR="00DF06D5" w:rsidRPr="00BF40C0">
        <w:rPr>
          <w:rFonts w:ascii="Aptos" w:hAnsi="Aptos"/>
          <w:sz w:val="20"/>
          <w:szCs w:val="16"/>
        </w:rPr>
        <w:t>515-3-4-.05(1)(d)</w:t>
      </w:r>
      <w:r w:rsidR="00F61DD0" w:rsidRPr="00BF40C0">
        <w:rPr>
          <w:rFonts w:ascii="Aptos" w:hAnsi="Aptos"/>
          <w:sz w:val="20"/>
          <w:szCs w:val="16"/>
        </w:rPr>
        <w:t xml:space="preserve"> for </w:t>
      </w:r>
      <w:r w:rsidR="005F3605" w:rsidRPr="00BF40C0">
        <w:rPr>
          <w:rFonts w:ascii="Aptos" w:hAnsi="Aptos"/>
          <w:sz w:val="20"/>
          <w:szCs w:val="16"/>
        </w:rPr>
        <w:t>sensitivity requirements.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CB8F0C" w14:textId="53ABD1E0" w:rsidR="00A9314C" w:rsidRPr="00077B75" w:rsidRDefault="00077B75" w:rsidP="00AB405B">
    <w:pPr>
      <w:pStyle w:val="Header"/>
      <w:jc w:val="center"/>
      <w:rPr>
        <w:rFonts w:ascii="Aptos" w:hAnsi="Aptos" w:cs="Arial"/>
        <w:b/>
        <w:sz w:val="22"/>
      </w:rPr>
    </w:pPr>
    <w:r w:rsidRPr="00077B75">
      <w:rPr>
        <w:rFonts w:ascii="Aptos" w:hAnsi="Aptos" w:cs="Arial"/>
        <w:b/>
        <w:sz w:val="22"/>
      </w:rPr>
      <w:t>PUBLIC DISCLOSURE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CC8435B"/>
    <w:multiLevelType w:val="singleLevel"/>
    <w:tmpl w:val="71042260"/>
    <w:lvl w:ilvl="0">
      <w:start w:val="8"/>
      <w:numFmt w:val="decimal"/>
      <w:lvlText w:val="%1."/>
      <w:lvlJc w:val="left"/>
      <w:pPr>
        <w:tabs>
          <w:tab w:val="num" w:pos="720"/>
        </w:tabs>
        <w:ind w:left="720" w:hanging="540"/>
      </w:pPr>
      <w:rPr>
        <w:rFonts w:hint="default"/>
      </w:rPr>
    </w:lvl>
  </w:abstractNum>
  <w:abstractNum w:abstractNumId="1" w15:restartNumberingAfterBreak="0">
    <w:nsid w:val="2E007BAD"/>
    <w:multiLevelType w:val="singleLevel"/>
    <w:tmpl w:val="0409000F"/>
    <w:lvl w:ilvl="0">
      <w:start w:val="1"/>
      <w:numFmt w:val="decimal"/>
      <w:lvlText w:val="%1."/>
      <w:lvlJc w:val="left"/>
      <w:pPr>
        <w:tabs>
          <w:tab w:val="num" w:pos="360"/>
        </w:tabs>
        <w:ind w:left="360" w:hanging="360"/>
      </w:pPr>
    </w:lvl>
  </w:abstractNum>
  <w:abstractNum w:abstractNumId="2" w15:restartNumberingAfterBreak="0">
    <w:nsid w:val="5417473E"/>
    <w:multiLevelType w:val="hybridMultilevel"/>
    <w:tmpl w:val="D1F42954"/>
    <w:lvl w:ilvl="0" w:tplc="04090007">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6EB85F37"/>
    <w:multiLevelType w:val="hybridMultilevel"/>
    <w:tmpl w:val="25B8577E"/>
    <w:lvl w:ilvl="0" w:tplc="CBE0EC62">
      <w:start w:val="1"/>
      <w:numFmt w:val="decimal"/>
      <w:lvlText w:val="%1."/>
      <w:lvlJc w:val="left"/>
      <w:pPr>
        <w:tabs>
          <w:tab w:val="num" w:pos="540"/>
        </w:tabs>
        <w:ind w:left="540" w:hanging="360"/>
      </w:pPr>
      <w:rPr>
        <w:rFonts w:hint="default"/>
      </w:r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num w:numId="1" w16cid:durableId="531117666">
    <w:abstractNumId w:val="1"/>
  </w:num>
  <w:num w:numId="2" w16cid:durableId="1564831535">
    <w:abstractNumId w:val="0"/>
  </w:num>
  <w:num w:numId="3" w16cid:durableId="741756829">
    <w:abstractNumId w:val="2"/>
  </w:num>
  <w:num w:numId="4" w16cid:durableId="77498018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74FD"/>
    <w:rsid w:val="000000F2"/>
    <w:rsid w:val="00002B51"/>
    <w:rsid w:val="00003A47"/>
    <w:rsid w:val="0000457C"/>
    <w:rsid w:val="00010C90"/>
    <w:rsid w:val="0001144E"/>
    <w:rsid w:val="00015379"/>
    <w:rsid w:val="0001580C"/>
    <w:rsid w:val="00015E10"/>
    <w:rsid w:val="00021212"/>
    <w:rsid w:val="00022834"/>
    <w:rsid w:val="00023154"/>
    <w:rsid w:val="000239A3"/>
    <w:rsid w:val="0002591A"/>
    <w:rsid w:val="000275B4"/>
    <w:rsid w:val="00030501"/>
    <w:rsid w:val="00035F18"/>
    <w:rsid w:val="000468CE"/>
    <w:rsid w:val="00046A7B"/>
    <w:rsid w:val="00051B29"/>
    <w:rsid w:val="00053465"/>
    <w:rsid w:val="00055090"/>
    <w:rsid w:val="000573DA"/>
    <w:rsid w:val="0006240D"/>
    <w:rsid w:val="000661DF"/>
    <w:rsid w:val="00071619"/>
    <w:rsid w:val="00073F52"/>
    <w:rsid w:val="00074FEB"/>
    <w:rsid w:val="00076E90"/>
    <w:rsid w:val="00077B75"/>
    <w:rsid w:val="00081E87"/>
    <w:rsid w:val="00083FCF"/>
    <w:rsid w:val="00086776"/>
    <w:rsid w:val="000911BE"/>
    <w:rsid w:val="000977DE"/>
    <w:rsid w:val="0009780B"/>
    <w:rsid w:val="000A095B"/>
    <w:rsid w:val="000A0F52"/>
    <w:rsid w:val="000A2A65"/>
    <w:rsid w:val="000A6D8B"/>
    <w:rsid w:val="000B364C"/>
    <w:rsid w:val="000B445A"/>
    <w:rsid w:val="000B5EBE"/>
    <w:rsid w:val="000C156E"/>
    <w:rsid w:val="000C66E9"/>
    <w:rsid w:val="000D17BB"/>
    <w:rsid w:val="000D33AC"/>
    <w:rsid w:val="000D754A"/>
    <w:rsid w:val="000E07B6"/>
    <w:rsid w:val="000F1D0F"/>
    <w:rsid w:val="000F2225"/>
    <w:rsid w:val="000F25EB"/>
    <w:rsid w:val="000F4EEC"/>
    <w:rsid w:val="000F5322"/>
    <w:rsid w:val="000F5D59"/>
    <w:rsid w:val="000F6D46"/>
    <w:rsid w:val="000F7439"/>
    <w:rsid w:val="000F7A2D"/>
    <w:rsid w:val="00100C4A"/>
    <w:rsid w:val="00101685"/>
    <w:rsid w:val="001044E0"/>
    <w:rsid w:val="00115D23"/>
    <w:rsid w:val="00116EC3"/>
    <w:rsid w:val="0011797C"/>
    <w:rsid w:val="00121851"/>
    <w:rsid w:val="00123830"/>
    <w:rsid w:val="00127260"/>
    <w:rsid w:val="00133D3F"/>
    <w:rsid w:val="00137868"/>
    <w:rsid w:val="0014359B"/>
    <w:rsid w:val="00144CFA"/>
    <w:rsid w:val="0014530E"/>
    <w:rsid w:val="00146029"/>
    <w:rsid w:val="00146308"/>
    <w:rsid w:val="00147E7D"/>
    <w:rsid w:val="0015178D"/>
    <w:rsid w:val="00153918"/>
    <w:rsid w:val="001645C0"/>
    <w:rsid w:val="00167EE3"/>
    <w:rsid w:val="00175B67"/>
    <w:rsid w:val="00176CA7"/>
    <w:rsid w:val="001846D4"/>
    <w:rsid w:val="001857D5"/>
    <w:rsid w:val="0018670A"/>
    <w:rsid w:val="00186829"/>
    <w:rsid w:val="0019488E"/>
    <w:rsid w:val="0019648A"/>
    <w:rsid w:val="001A72EE"/>
    <w:rsid w:val="001A7479"/>
    <w:rsid w:val="001A7F4C"/>
    <w:rsid w:val="001B03C2"/>
    <w:rsid w:val="001B2375"/>
    <w:rsid w:val="001B422E"/>
    <w:rsid w:val="001B4751"/>
    <w:rsid w:val="001B58C1"/>
    <w:rsid w:val="001B7278"/>
    <w:rsid w:val="001B750A"/>
    <w:rsid w:val="001C4F5E"/>
    <w:rsid w:val="001C5B3D"/>
    <w:rsid w:val="001C7C92"/>
    <w:rsid w:val="001D3883"/>
    <w:rsid w:val="001E4E2B"/>
    <w:rsid w:val="001E624A"/>
    <w:rsid w:val="001E6CAA"/>
    <w:rsid w:val="001F0579"/>
    <w:rsid w:val="001F17E7"/>
    <w:rsid w:val="001F410F"/>
    <w:rsid w:val="001F6CC7"/>
    <w:rsid w:val="001F75A3"/>
    <w:rsid w:val="00202161"/>
    <w:rsid w:val="002077EC"/>
    <w:rsid w:val="002102D5"/>
    <w:rsid w:val="002102F2"/>
    <w:rsid w:val="00211F59"/>
    <w:rsid w:val="0021337C"/>
    <w:rsid w:val="00214B44"/>
    <w:rsid w:val="002155E7"/>
    <w:rsid w:val="002232B8"/>
    <w:rsid w:val="00223506"/>
    <w:rsid w:val="00227ADB"/>
    <w:rsid w:val="0023068D"/>
    <w:rsid w:val="00230840"/>
    <w:rsid w:val="00230962"/>
    <w:rsid w:val="00230987"/>
    <w:rsid w:val="00230DFB"/>
    <w:rsid w:val="002328E4"/>
    <w:rsid w:val="00232AA9"/>
    <w:rsid w:val="00235589"/>
    <w:rsid w:val="00240264"/>
    <w:rsid w:val="00241048"/>
    <w:rsid w:val="0024671C"/>
    <w:rsid w:val="002468CE"/>
    <w:rsid w:val="00250632"/>
    <w:rsid w:val="00250943"/>
    <w:rsid w:val="00253D57"/>
    <w:rsid w:val="00256DB6"/>
    <w:rsid w:val="00260D5B"/>
    <w:rsid w:val="00262617"/>
    <w:rsid w:val="002639B8"/>
    <w:rsid w:val="00263E90"/>
    <w:rsid w:val="00265021"/>
    <w:rsid w:val="00266F5C"/>
    <w:rsid w:val="0027169A"/>
    <w:rsid w:val="002757A0"/>
    <w:rsid w:val="00280FA7"/>
    <w:rsid w:val="00286A95"/>
    <w:rsid w:val="00287B9C"/>
    <w:rsid w:val="00291C7D"/>
    <w:rsid w:val="002975F9"/>
    <w:rsid w:val="00297E4E"/>
    <w:rsid w:val="00297FB1"/>
    <w:rsid w:val="002A0AC2"/>
    <w:rsid w:val="002A25CA"/>
    <w:rsid w:val="002A6739"/>
    <w:rsid w:val="002A72CD"/>
    <w:rsid w:val="002B3955"/>
    <w:rsid w:val="002B59CB"/>
    <w:rsid w:val="002B654B"/>
    <w:rsid w:val="002C00AA"/>
    <w:rsid w:val="002C0D0F"/>
    <w:rsid w:val="002C21EE"/>
    <w:rsid w:val="002C37D4"/>
    <w:rsid w:val="002C39AA"/>
    <w:rsid w:val="002D236C"/>
    <w:rsid w:val="002D6A5A"/>
    <w:rsid w:val="002E1CB3"/>
    <w:rsid w:val="002E1E75"/>
    <w:rsid w:val="002E25BB"/>
    <w:rsid w:val="002E65F3"/>
    <w:rsid w:val="002E6A1E"/>
    <w:rsid w:val="002F24BE"/>
    <w:rsid w:val="002F3701"/>
    <w:rsid w:val="002F7478"/>
    <w:rsid w:val="00301BAC"/>
    <w:rsid w:val="00301E73"/>
    <w:rsid w:val="00303C57"/>
    <w:rsid w:val="00307F3A"/>
    <w:rsid w:val="00310BF1"/>
    <w:rsid w:val="003207FE"/>
    <w:rsid w:val="00327573"/>
    <w:rsid w:val="00331B02"/>
    <w:rsid w:val="00331FE5"/>
    <w:rsid w:val="00332DB9"/>
    <w:rsid w:val="00335F63"/>
    <w:rsid w:val="003369DE"/>
    <w:rsid w:val="00346E4A"/>
    <w:rsid w:val="00354926"/>
    <w:rsid w:val="00356B2F"/>
    <w:rsid w:val="00362CC6"/>
    <w:rsid w:val="00364F86"/>
    <w:rsid w:val="003738F7"/>
    <w:rsid w:val="0037650E"/>
    <w:rsid w:val="0038237B"/>
    <w:rsid w:val="0038391C"/>
    <w:rsid w:val="00385442"/>
    <w:rsid w:val="003857A3"/>
    <w:rsid w:val="003867D6"/>
    <w:rsid w:val="00387FB5"/>
    <w:rsid w:val="0039254E"/>
    <w:rsid w:val="00394840"/>
    <w:rsid w:val="00397B30"/>
    <w:rsid w:val="003A1530"/>
    <w:rsid w:val="003A4B60"/>
    <w:rsid w:val="003B0A21"/>
    <w:rsid w:val="003B0BC5"/>
    <w:rsid w:val="003B0F70"/>
    <w:rsid w:val="003B1C2D"/>
    <w:rsid w:val="003B76AA"/>
    <w:rsid w:val="003C1936"/>
    <w:rsid w:val="003C1FBD"/>
    <w:rsid w:val="003C40D8"/>
    <w:rsid w:val="003C580A"/>
    <w:rsid w:val="003C7220"/>
    <w:rsid w:val="003D0857"/>
    <w:rsid w:val="003D0ADD"/>
    <w:rsid w:val="003D0B83"/>
    <w:rsid w:val="003D383F"/>
    <w:rsid w:val="003D4547"/>
    <w:rsid w:val="003E3176"/>
    <w:rsid w:val="003E31C0"/>
    <w:rsid w:val="003E458F"/>
    <w:rsid w:val="003E4684"/>
    <w:rsid w:val="003E7656"/>
    <w:rsid w:val="003F144E"/>
    <w:rsid w:val="003F2565"/>
    <w:rsid w:val="003F2C54"/>
    <w:rsid w:val="003F7A1E"/>
    <w:rsid w:val="0040013A"/>
    <w:rsid w:val="00410FD9"/>
    <w:rsid w:val="004110A8"/>
    <w:rsid w:val="00413DCD"/>
    <w:rsid w:val="00414697"/>
    <w:rsid w:val="00416F9D"/>
    <w:rsid w:val="00420787"/>
    <w:rsid w:val="00422EF5"/>
    <w:rsid w:val="00424185"/>
    <w:rsid w:val="00424244"/>
    <w:rsid w:val="0042613D"/>
    <w:rsid w:val="004268E0"/>
    <w:rsid w:val="004304AE"/>
    <w:rsid w:val="00432CCD"/>
    <w:rsid w:val="0043438E"/>
    <w:rsid w:val="0043540C"/>
    <w:rsid w:val="00437FAF"/>
    <w:rsid w:val="0044734A"/>
    <w:rsid w:val="004525A5"/>
    <w:rsid w:val="00452E4D"/>
    <w:rsid w:val="00453CBF"/>
    <w:rsid w:val="00456F41"/>
    <w:rsid w:val="00462036"/>
    <w:rsid w:val="004643C2"/>
    <w:rsid w:val="004647D9"/>
    <w:rsid w:val="00464C8E"/>
    <w:rsid w:val="00470E7E"/>
    <w:rsid w:val="00476A60"/>
    <w:rsid w:val="00485976"/>
    <w:rsid w:val="0049061C"/>
    <w:rsid w:val="004962CC"/>
    <w:rsid w:val="0049757A"/>
    <w:rsid w:val="00497A92"/>
    <w:rsid w:val="004A0956"/>
    <w:rsid w:val="004A171A"/>
    <w:rsid w:val="004A1A3C"/>
    <w:rsid w:val="004A2AE6"/>
    <w:rsid w:val="004A2DD5"/>
    <w:rsid w:val="004B7560"/>
    <w:rsid w:val="004B775F"/>
    <w:rsid w:val="004C1BAD"/>
    <w:rsid w:val="004C41F9"/>
    <w:rsid w:val="004C5077"/>
    <w:rsid w:val="004C5967"/>
    <w:rsid w:val="004D1C75"/>
    <w:rsid w:val="004D74FD"/>
    <w:rsid w:val="004E5389"/>
    <w:rsid w:val="004E6AD9"/>
    <w:rsid w:val="004F173D"/>
    <w:rsid w:val="004F28DC"/>
    <w:rsid w:val="004F601A"/>
    <w:rsid w:val="004F61D0"/>
    <w:rsid w:val="004F7F2B"/>
    <w:rsid w:val="00501551"/>
    <w:rsid w:val="005017AD"/>
    <w:rsid w:val="00502F31"/>
    <w:rsid w:val="00507220"/>
    <w:rsid w:val="005112D6"/>
    <w:rsid w:val="00511772"/>
    <w:rsid w:val="005138C6"/>
    <w:rsid w:val="00516143"/>
    <w:rsid w:val="005169A0"/>
    <w:rsid w:val="00521312"/>
    <w:rsid w:val="005233DE"/>
    <w:rsid w:val="00523AD0"/>
    <w:rsid w:val="00523CBB"/>
    <w:rsid w:val="00524974"/>
    <w:rsid w:val="005315C6"/>
    <w:rsid w:val="00532311"/>
    <w:rsid w:val="005354F5"/>
    <w:rsid w:val="0053745A"/>
    <w:rsid w:val="005402DE"/>
    <w:rsid w:val="00541351"/>
    <w:rsid w:val="00542D72"/>
    <w:rsid w:val="00545F1F"/>
    <w:rsid w:val="0054790E"/>
    <w:rsid w:val="00551185"/>
    <w:rsid w:val="0055301F"/>
    <w:rsid w:val="00560685"/>
    <w:rsid w:val="00560E71"/>
    <w:rsid w:val="005640A8"/>
    <w:rsid w:val="00565A47"/>
    <w:rsid w:val="00570E63"/>
    <w:rsid w:val="00573908"/>
    <w:rsid w:val="00573F6C"/>
    <w:rsid w:val="0057472E"/>
    <w:rsid w:val="005753A1"/>
    <w:rsid w:val="005764C4"/>
    <w:rsid w:val="005804F0"/>
    <w:rsid w:val="00582475"/>
    <w:rsid w:val="00583A68"/>
    <w:rsid w:val="00587F64"/>
    <w:rsid w:val="005915FF"/>
    <w:rsid w:val="00592592"/>
    <w:rsid w:val="005942F6"/>
    <w:rsid w:val="00595191"/>
    <w:rsid w:val="00596835"/>
    <w:rsid w:val="0059752F"/>
    <w:rsid w:val="005A0BE2"/>
    <w:rsid w:val="005A283F"/>
    <w:rsid w:val="005A50A5"/>
    <w:rsid w:val="005B036A"/>
    <w:rsid w:val="005B5D47"/>
    <w:rsid w:val="005B763A"/>
    <w:rsid w:val="005C060E"/>
    <w:rsid w:val="005C11C1"/>
    <w:rsid w:val="005C36B8"/>
    <w:rsid w:val="005C6DD8"/>
    <w:rsid w:val="005CF794"/>
    <w:rsid w:val="005D28D3"/>
    <w:rsid w:val="005D5A22"/>
    <w:rsid w:val="005D70E9"/>
    <w:rsid w:val="005E26D0"/>
    <w:rsid w:val="005E4BA4"/>
    <w:rsid w:val="005E66D0"/>
    <w:rsid w:val="005F09D1"/>
    <w:rsid w:val="005F3605"/>
    <w:rsid w:val="005F361C"/>
    <w:rsid w:val="005F54B5"/>
    <w:rsid w:val="005F6D3D"/>
    <w:rsid w:val="005F7B9E"/>
    <w:rsid w:val="006002B1"/>
    <w:rsid w:val="00600C3E"/>
    <w:rsid w:val="006010AD"/>
    <w:rsid w:val="00602862"/>
    <w:rsid w:val="006041E9"/>
    <w:rsid w:val="0060733A"/>
    <w:rsid w:val="00613272"/>
    <w:rsid w:val="00614E1B"/>
    <w:rsid w:val="00615FB4"/>
    <w:rsid w:val="00617C14"/>
    <w:rsid w:val="006211DD"/>
    <w:rsid w:val="00622602"/>
    <w:rsid w:val="00625B36"/>
    <w:rsid w:val="00626069"/>
    <w:rsid w:val="006312B2"/>
    <w:rsid w:val="00632FC6"/>
    <w:rsid w:val="00636E20"/>
    <w:rsid w:val="0064049F"/>
    <w:rsid w:val="00640A78"/>
    <w:rsid w:val="00642709"/>
    <w:rsid w:val="0064344E"/>
    <w:rsid w:val="00645261"/>
    <w:rsid w:val="00646A74"/>
    <w:rsid w:val="00647204"/>
    <w:rsid w:val="00647E8A"/>
    <w:rsid w:val="00663E88"/>
    <w:rsid w:val="00664AFA"/>
    <w:rsid w:val="006650EE"/>
    <w:rsid w:val="00665265"/>
    <w:rsid w:val="00665468"/>
    <w:rsid w:val="00670276"/>
    <w:rsid w:val="00672053"/>
    <w:rsid w:val="00672FFC"/>
    <w:rsid w:val="006773FC"/>
    <w:rsid w:val="0068027B"/>
    <w:rsid w:val="006813A1"/>
    <w:rsid w:val="00681F59"/>
    <w:rsid w:val="006844DD"/>
    <w:rsid w:val="006865DC"/>
    <w:rsid w:val="00693514"/>
    <w:rsid w:val="006A5A62"/>
    <w:rsid w:val="006B369C"/>
    <w:rsid w:val="006B6808"/>
    <w:rsid w:val="006C568F"/>
    <w:rsid w:val="006C6D2B"/>
    <w:rsid w:val="006D21BA"/>
    <w:rsid w:val="006D6999"/>
    <w:rsid w:val="006E30F1"/>
    <w:rsid w:val="006E6A9B"/>
    <w:rsid w:val="006F1D73"/>
    <w:rsid w:val="00702C16"/>
    <w:rsid w:val="00705280"/>
    <w:rsid w:val="0071075B"/>
    <w:rsid w:val="00713897"/>
    <w:rsid w:val="007146FA"/>
    <w:rsid w:val="00715C0A"/>
    <w:rsid w:val="0071624A"/>
    <w:rsid w:val="00717536"/>
    <w:rsid w:val="007218CE"/>
    <w:rsid w:val="00725A87"/>
    <w:rsid w:val="007334F6"/>
    <w:rsid w:val="00733AF7"/>
    <w:rsid w:val="00742165"/>
    <w:rsid w:val="00744FBC"/>
    <w:rsid w:val="00745E7E"/>
    <w:rsid w:val="0075137B"/>
    <w:rsid w:val="007521A1"/>
    <w:rsid w:val="0075453F"/>
    <w:rsid w:val="00757778"/>
    <w:rsid w:val="00764819"/>
    <w:rsid w:val="007674B6"/>
    <w:rsid w:val="007679C5"/>
    <w:rsid w:val="00772B41"/>
    <w:rsid w:val="00772EEB"/>
    <w:rsid w:val="007733C2"/>
    <w:rsid w:val="00786F53"/>
    <w:rsid w:val="00791549"/>
    <w:rsid w:val="00793886"/>
    <w:rsid w:val="00796418"/>
    <w:rsid w:val="007970FE"/>
    <w:rsid w:val="0079711F"/>
    <w:rsid w:val="007A2751"/>
    <w:rsid w:val="007A41C2"/>
    <w:rsid w:val="007A42F7"/>
    <w:rsid w:val="007A56B1"/>
    <w:rsid w:val="007A796A"/>
    <w:rsid w:val="007B2B05"/>
    <w:rsid w:val="007B3953"/>
    <w:rsid w:val="007C47F4"/>
    <w:rsid w:val="007C6149"/>
    <w:rsid w:val="007C6E03"/>
    <w:rsid w:val="007C7252"/>
    <w:rsid w:val="007C7EDC"/>
    <w:rsid w:val="007D135C"/>
    <w:rsid w:val="007D3BA9"/>
    <w:rsid w:val="007D5738"/>
    <w:rsid w:val="007E0F0B"/>
    <w:rsid w:val="007E58F4"/>
    <w:rsid w:val="007E646C"/>
    <w:rsid w:val="007F06E3"/>
    <w:rsid w:val="007F4EB7"/>
    <w:rsid w:val="007F7E6B"/>
    <w:rsid w:val="008048A3"/>
    <w:rsid w:val="008054D1"/>
    <w:rsid w:val="00814A70"/>
    <w:rsid w:val="00823118"/>
    <w:rsid w:val="008241C2"/>
    <w:rsid w:val="00825C2D"/>
    <w:rsid w:val="00825EBB"/>
    <w:rsid w:val="0083113B"/>
    <w:rsid w:val="0083149B"/>
    <w:rsid w:val="00840972"/>
    <w:rsid w:val="00842C73"/>
    <w:rsid w:val="00845293"/>
    <w:rsid w:val="0084682F"/>
    <w:rsid w:val="008502FE"/>
    <w:rsid w:val="00853DD8"/>
    <w:rsid w:val="00860753"/>
    <w:rsid w:val="0086088C"/>
    <w:rsid w:val="00860C8F"/>
    <w:rsid w:val="00863CAE"/>
    <w:rsid w:val="00871453"/>
    <w:rsid w:val="00873E25"/>
    <w:rsid w:val="00882811"/>
    <w:rsid w:val="00884C49"/>
    <w:rsid w:val="00884F62"/>
    <w:rsid w:val="008863D7"/>
    <w:rsid w:val="008915B2"/>
    <w:rsid w:val="00893B5D"/>
    <w:rsid w:val="008944D7"/>
    <w:rsid w:val="008A0417"/>
    <w:rsid w:val="008A1690"/>
    <w:rsid w:val="008A27FF"/>
    <w:rsid w:val="008A2D2D"/>
    <w:rsid w:val="008A723C"/>
    <w:rsid w:val="008B2073"/>
    <w:rsid w:val="008B7034"/>
    <w:rsid w:val="008C118C"/>
    <w:rsid w:val="008C3499"/>
    <w:rsid w:val="008C5B87"/>
    <w:rsid w:val="008C67E2"/>
    <w:rsid w:val="008C768D"/>
    <w:rsid w:val="008D1150"/>
    <w:rsid w:val="008D2821"/>
    <w:rsid w:val="008D6528"/>
    <w:rsid w:val="008E249F"/>
    <w:rsid w:val="008E26BF"/>
    <w:rsid w:val="008E3473"/>
    <w:rsid w:val="008E4A3B"/>
    <w:rsid w:val="008F18F4"/>
    <w:rsid w:val="008F63F9"/>
    <w:rsid w:val="009030E0"/>
    <w:rsid w:val="00904528"/>
    <w:rsid w:val="00916A48"/>
    <w:rsid w:val="0092154F"/>
    <w:rsid w:val="00921CAD"/>
    <w:rsid w:val="00921F45"/>
    <w:rsid w:val="00922B15"/>
    <w:rsid w:val="0092324A"/>
    <w:rsid w:val="00930876"/>
    <w:rsid w:val="00930E24"/>
    <w:rsid w:val="00956B5F"/>
    <w:rsid w:val="00957B99"/>
    <w:rsid w:val="00967CAD"/>
    <w:rsid w:val="00967E99"/>
    <w:rsid w:val="009738D3"/>
    <w:rsid w:val="00973C26"/>
    <w:rsid w:val="00986A7F"/>
    <w:rsid w:val="009973DB"/>
    <w:rsid w:val="00997900"/>
    <w:rsid w:val="009A2399"/>
    <w:rsid w:val="009A5218"/>
    <w:rsid w:val="009B1156"/>
    <w:rsid w:val="009B1C86"/>
    <w:rsid w:val="009B42D4"/>
    <w:rsid w:val="009B6D33"/>
    <w:rsid w:val="009C19D0"/>
    <w:rsid w:val="009C3A38"/>
    <w:rsid w:val="009C5926"/>
    <w:rsid w:val="009C5A68"/>
    <w:rsid w:val="009C5F37"/>
    <w:rsid w:val="009C659B"/>
    <w:rsid w:val="009C67CD"/>
    <w:rsid w:val="009C7B04"/>
    <w:rsid w:val="009D18B0"/>
    <w:rsid w:val="009D42C0"/>
    <w:rsid w:val="009D52F4"/>
    <w:rsid w:val="009E1123"/>
    <w:rsid w:val="009E265D"/>
    <w:rsid w:val="009E3B7D"/>
    <w:rsid w:val="009E3E88"/>
    <w:rsid w:val="009E5CD3"/>
    <w:rsid w:val="009E71F4"/>
    <w:rsid w:val="009F4BD8"/>
    <w:rsid w:val="009F7CF7"/>
    <w:rsid w:val="00A01608"/>
    <w:rsid w:val="00A031E5"/>
    <w:rsid w:val="00A0528B"/>
    <w:rsid w:val="00A06676"/>
    <w:rsid w:val="00A11843"/>
    <w:rsid w:val="00A1624A"/>
    <w:rsid w:val="00A31B2B"/>
    <w:rsid w:val="00A322C2"/>
    <w:rsid w:val="00A33366"/>
    <w:rsid w:val="00A35AFC"/>
    <w:rsid w:val="00A4151B"/>
    <w:rsid w:val="00A423E9"/>
    <w:rsid w:val="00A4247C"/>
    <w:rsid w:val="00A43926"/>
    <w:rsid w:val="00A46DB9"/>
    <w:rsid w:val="00A51AC4"/>
    <w:rsid w:val="00A52371"/>
    <w:rsid w:val="00A5260E"/>
    <w:rsid w:val="00A56AD8"/>
    <w:rsid w:val="00A57B9A"/>
    <w:rsid w:val="00A70BEE"/>
    <w:rsid w:val="00A7485A"/>
    <w:rsid w:val="00A81483"/>
    <w:rsid w:val="00A854F4"/>
    <w:rsid w:val="00A91905"/>
    <w:rsid w:val="00A92881"/>
    <w:rsid w:val="00A9314C"/>
    <w:rsid w:val="00A94990"/>
    <w:rsid w:val="00AA1C55"/>
    <w:rsid w:val="00AA2567"/>
    <w:rsid w:val="00AA54D2"/>
    <w:rsid w:val="00AB37B9"/>
    <w:rsid w:val="00AB405B"/>
    <w:rsid w:val="00AB4B64"/>
    <w:rsid w:val="00AB66A8"/>
    <w:rsid w:val="00AB6DA8"/>
    <w:rsid w:val="00AC15F8"/>
    <w:rsid w:val="00AC57BC"/>
    <w:rsid w:val="00AD1BD3"/>
    <w:rsid w:val="00AD41D5"/>
    <w:rsid w:val="00AD531D"/>
    <w:rsid w:val="00AD64CF"/>
    <w:rsid w:val="00AD66C2"/>
    <w:rsid w:val="00AD672E"/>
    <w:rsid w:val="00AE04BE"/>
    <w:rsid w:val="00AE218C"/>
    <w:rsid w:val="00AF015B"/>
    <w:rsid w:val="00AF23F2"/>
    <w:rsid w:val="00B0003B"/>
    <w:rsid w:val="00B10045"/>
    <w:rsid w:val="00B10F10"/>
    <w:rsid w:val="00B1302F"/>
    <w:rsid w:val="00B142B9"/>
    <w:rsid w:val="00B21224"/>
    <w:rsid w:val="00B25B41"/>
    <w:rsid w:val="00B264DC"/>
    <w:rsid w:val="00B36971"/>
    <w:rsid w:val="00B40A1F"/>
    <w:rsid w:val="00B40D9F"/>
    <w:rsid w:val="00B454E0"/>
    <w:rsid w:val="00B46373"/>
    <w:rsid w:val="00B46E87"/>
    <w:rsid w:val="00B51A60"/>
    <w:rsid w:val="00B55E9A"/>
    <w:rsid w:val="00B567E4"/>
    <w:rsid w:val="00B56B0E"/>
    <w:rsid w:val="00B6602F"/>
    <w:rsid w:val="00B7506F"/>
    <w:rsid w:val="00B7620D"/>
    <w:rsid w:val="00B76C13"/>
    <w:rsid w:val="00B7728D"/>
    <w:rsid w:val="00B8100A"/>
    <w:rsid w:val="00B84B66"/>
    <w:rsid w:val="00B91C2D"/>
    <w:rsid w:val="00B92C44"/>
    <w:rsid w:val="00B96A6B"/>
    <w:rsid w:val="00BA048F"/>
    <w:rsid w:val="00BA1756"/>
    <w:rsid w:val="00BA1971"/>
    <w:rsid w:val="00BA4152"/>
    <w:rsid w:val="00BB4097"/>
    <w:rsid w:val="00BB5E0D"/>
    <w:rsid w:val="00BB7DF9"/>
    <w:rsid w:val="00BB7F2E"/>
    <w:rsid w:val="00BC186A"/>
    <w:rsid w:val="00BC1B87"/>
    <w:rsid w:val="00BC1CDF"/>
    <w:rsid w:val="00BC35A3"/>
    <w:rsid w:val="00BC3BA2"/>
    <w:rsid w:val="00BD631A"/>
    <w:rsid w:val="00BD72DB"/>
    <w:rsid w:val="00BE2A86"/>
    <w:rsid w:val="00BE33B9"/>
    <w:rsid w:val="00BE35D5"/>
    <w:rsid w:val="00BE405B"/>
    <w:rsid w:val="00BF08D4"/>
    <w:rsid w:val="00BF0CC3"/>
    <w:rsid w:val="00BF0DFC"/>
    <w:rsid w:val="00BF2F69"/>
    <w:rsid w:val="00BF40C0"/>
    <w:rsid w:val="00BF6603"/>
    <w:rsid w:val="00BF6AD2"/>
    <w:rsid w:val="00C00272"/>
    <w:rsid w:val="00C01B4E"/>
    <w:rsid w:val="00C02A7D"/>
    <w:rsid w:val="00C03ABE"/>
    <w:rsid w:val="00C05764"/>
    <w:rsid w:val="00C1313F"/>
    <w:rsid w:val="00C13C54"/>
    <w:rsid w:val="00C15EF8"/>
    <w:rsid w:val="00C2020B"/>
    <w:rsid w:val="00C209CE"/>
    <w:rsid w:val="00C2154F"/>
    <w:rsid w:val="00C2180C"/>
    <w:rsid w:val="00C247AB"/>
    <w:rsid w:val="00C24D0D"/>
    <w:rsid w:val="00C25520"/>
    <w:rsid w:val="00C257CC"/>
    <w:rsid w:val="00C268EC"/>
    <w:rsid w:val="00C310C1"/>
    <w:rsid w:val="00C3165F"/>
    <w:rsid w:val="00C34051"/>
    <w:rsid w:val="00C34332"/>
    <w:rsid w:val="00C37318"/>
    <w:rsid w:val="00C41210"/>
    <w:rsid w:val="00C41E1D"/>
    <w:rsid w:val="00C463EE"/>
    <w:rsid w:val="00C47AA0"/>
    <w:rsid w:val="00C579D5"/>
    <w:rsid w:val="00C61A30"/>
    <w:rsid w:val="00C61E6F"/>
    <w:rsid w:val="00C63235"/>
    <w:rsid w:val="00C70631"/>
    <w:rsid w:val="00C71F4B"/>
    <w:rsid w:val="00C736A2"/>
    <w:rsid w:val="00C74188"/>
    <w:rsid w:val="00C77DF9"/>
    <w:rsid w:val="00C821EA"/>
    <w:rsid w:val="00C839E5"/>
    <w:rsid w:val="00C84B43"/>
    <w:rsid w:val="00C9210E"/>
    <w:rsid w:val="00CA2FA1"/>
    <w:rsid w:val="00CA5A15"/>
    <w:rsid w:val="00CA5A5C"/>
    <w:rsid w:val="00CA5F0F"/>
    <w:rsid w:val="00CB01B1"/>
    <w:rsid w:val="00CB603A"/>
    <w:rsid w:val="00CB6C5F"/>
    <w:rsid w:val="00CB7921"/>
    <w:rsid w:val="00CB7F8D"/>
    <w:rsid w:val="00CD45C9"/>
    <w:rsid w:val="00CD4E79"/>
    <w:rsid w:val="00CD5CB2"/>
    <w:rsid w:val="00CD6E66"/>
    <w:rsid w:val="00CE04B3"/>
    <w:rsid w:val="00CE110F"/>
    <w:rsid w:val="00CE7354"/>
    <w:rsid w:val="00CF004A"/>
    <w:rsid w:val="00CF2F6B"/>
    <w:rsid w:val="00CF38BF"/>
    <w:rsid w:val="00CF3D59"/>
    <w:rsid w:val="00D01930"/>
    <w:rsid w:val="00D03129"/>
    <w:rsid w:val="00D108F7"/>
    <w:rsid w:val="00D12D4D"/>
    <w:rsid w:val="00D1585A"/>
    <w:rsid w:val="00D17511"/>
    <w:rsid w:val="00D25FE6"/>
    <w:rsid w:val="00D27CC4"/>
    <w:rsid w:val="00D347DD"/>
    <w:rsid w:val="00D353A0"/>
    <w:rsid w:val="00D35DBF"/>
    <w:rsid w:val="00D36631"/>
    <w:rsid w:val="00D36D2C"/>
    <w:rsid w:val="00D36FFE"/>
    <w:rsid w:val="00D419D4"/>
    <w:rsid w:val="00D42D3B"/>
    <w:rsid w:val="00D4572B"/>
    <w:rsid w:val="00D5692A"/>
    <w:rsid w:val="00D61FDC"/>
    <w:rsid w:val="00D64F17"/>
    <w:rsid w:val="00D6585D"/>
    <w:rsid w:val="00D67589"/>
    <w:rsid w:val="00D6773C"/>
    <w:rsid w:val="00D72B34"/>
    <w:rsid w:val="00D72FBA"/>
    <w:rsid w:val="00D73F7F"/>
    <w:rsid w:val="00D75978"/>
    <w:rsid w:val="00D774E7"/>
    <w:rsid w:val="00D82005"/>
    <w:rsid w:val="00D8331E"/>
    <w:rsid w:val="00D84AB1"/>
    <w:rsid w:val="00D84D54"/>
    <w:rsid w:val="00D933B7"/>
    <w:rsid w:val="00D9415A"/>
    <w:rsid w:val="00D9633F"/>
    <w:rsid w:val="00D970DA"/>
    <w:rsid w:val="00D975BE"/>
    <w:rsid w:val="00DA19FA"/>
    <w:rsid w:val="00DA27FC"/>
    <w:rsid w:val="00DB10BE"/>
    <w:rsid w:val="00DB7900"/>
    <w:rsid w:val="00DC1B22"/>
    <w:rsid w:val="00DC2129"/>
    <w:rsid w:val="00DD11E0"/>
    <w:rsid w:val="00DD3180"/>
    <w:rsid w:val="00DD37C2"/>
    <w:rsid w:val="00DD55FB"/>
    <w:rsid w:val="00DE0494"/>
    <w:rsid w:val="00DE1E25"/>
    <w:rsid w:val="00DE24B8"/>
    <w:rsid w:val="00DE59C0"/>
    <w:rsid w:val="00DE6AE0"/>
    <w:rsid w:val="00DE72DD"/>
    <w:rsid w:val="00DF06D5"/>
    <w:rsid w:val="00DF0C6C"/>
    <w:rsid w:val="00DF1F50"/>
    <w:rsid w:val="00DF377F"/>
    <w:rsid w:val="00DF5336"/>
    <w:rsid w:val="00E016AA"/>
    <w:rsid w:val="00E029AB"/>
    <w:rsid w:val="00E24316"/>
    <w:rsid w:val="00E26AB9"/>
    <w:rsid w:val="00E26E72"/>
    <w:rsid w:val="00E31EC5"/>
    <w:rsid w:val="00E32807"/>
    <w:rsid w:val="00E34F77"/>
    <w:rsid w:val="00E377BB"/>
    <w:rsid w:val="00E37E3E"/>
    <w:rsid w:val="00E432AE"/>
    <w:rsid w:val="00E43894"/>
    <w:rsid w:val="00E43C3D"/>
    <w:rsid w:val="00E43CA0"/>
    <w:rsid w:val="00E47DD3"/>
    <w:rsid w:val="00E5142A"/>
    <w:rsid w:val="00E5503D"/>
    <w:rsid w:val="00E633D3"/>
    <w:rsid w:val="00E63C21"/>
    <w:rsid w:val="00E64A6D"/>
    <w:rsid w:val="00E653DB"/>
    <w:rsid w:val="00E7194E"/>
    <w:rsid w:val="00E829E9"/>
    <w:rsid w:val="00E91B98"/>
    <w:rsid w:val="00E927FC"/>
    <w:rsid w:val="00E9700E"/>
    <w:rsid w:val="00EA0EAB"/>
    <w:rsid w:val="00EB3717"/>
    <w:rsid w:val="00EB453A"/>
    <w:rsid w:val="00EB58BC"/>
    <w:rsid w:val="00EB6C1F"/>
    <w:rsid w:val="00EC7B3F"/>
    <w:rsid w:val="00ED2228"/>
    <w:rsid w:val="00ED3C89"/>
    <w:rsid w:val="00ED4395"/>
    <w:rsid w:val="00EE03AF"/>
    <w:rsid w:val="00EE5546"/>
    <w:rsid w:val="00EE55B9"/>
    <w:rsid w:val="00EF08F4"/>
    <w:rsid w:val="00EF536B"/>
    <w:rsid w:val="00EF6082"/>
    <w:rsid w:val="00F001DE"/>
    <w:rsid w:val="00F00575"/>
    <w:rsid w:val="00F00D67"/>
    <w:rsid w:val="00F0311F"/>
    <w:rsid w:val="00F031B5"/>
    <w:rsid w:val="00F04083"/>
    <w:rsid w:val="00F04E96"/>
    <w:rsid w:val="00F102D5"/>
    <w:rsid w:val="00F1444B"/>
    <w:rsid w:val="00F15B36"/>
    <w:rsid w:val="00F15C34"/>
    <w:rsid w:val="00F16F28"/>
    <w:rsid w:val="00F20C67"/>
    <w:rsid w:val="00F239FA"/>
    <w:rsid w:val="00F2601F"/>
    <w:rsid w:val="00F269EA"/>
    <w:rsid w:val="00F27330"/>
    <w:rsid w:val="00F4138C"/>
    <w:rsid w:val="00F41A1F"/>
    <w:rsid w:val="00F4329C"/>
    <w:rsid w:val="00F44CDA"/>
    <w:rsid w:val="00F46751"/>
    <w:rsid w:val="00F51919"/>
    <w:rsid w:val="00F51947"/>
    <w:rsid w:val="00F56CE5"/>
    <w:rsid w:val="00F57D06"/>
    <w:rsid w:val="00F614C2"/>
    <w:rsid w:val="00F61DD0"/>
    <w:rsid w:val="00F63ABC"/>
    <w:rsid w:val="00F66484"/>
    <w:rsid w:val="00F66EB3"/>
    <w:rsid w:val="00F67714"/>
    <w:rsid w:val="00F74385"/>
    <w:rsid w:val="00F765BB"/>
    <w:rsid w:val="00F82EA7"/>
    <w:rsid w:val="00F86B19"/>
    <w:rsid w:val="00F91688"/>
    <w:rsid w:val="00F93829"/>
    <w:rsid w:val="00F9524C"/>
    <w:rsid w:val="00F9674B"/>
    <w:rsid w:val="00FA7322"/>
    <w:rsid w:val="00FB123A"/>
    <w:rsid w:val="00FB293A"/>
    <w:rsid w:val="00FB6D79"/>
    <w:rsid w:val="00FB70C3"/>
    <w:rsid w:val="00FC149F"/>
    <w:rsid w:val="00FC1A63"/>
    <w:rsid w:val="00FC21AC"/>
    <w:rsid w:val="00FC65A7"/>
    <w:rsid w:val="00FD1C20"/>
    <w:rsid w:val="00FD453C"/>
    <w:rsid w:val="00FD6A4F"/>
    <w:rsid w:val="00FE0CA7"/>
    <w:rsid w:val="00FE16C9"/>
    <w:rsid w:val="00FF007F"/>
    <w:rsid w:val="00FF05FF"/>
    <w:rsid w:val="00FF0AEF"/>
    <w:rsid w:val="00FF0FC4"/>
    <w:rsid w:val="00FF27FC"/>
    <w:rsid w:val="00FF5991"/>
    <w:rsid w:val="03B8DE28"/>
    <w:rsid w:val="046F6145"/>
    <w:rsid w:val="089E4848"/>
    <w:rsid w:val="09ABB072"/>
    <w:rsid w:val="09F4D035"/>
    <w:rsid w:val="0A19FBD0"/>
    <w:rsid w:val="110CF95A"/>
    <w:rsid w:val="116D291D"/>
    <w:rsid w:val="11B1AFF2"/>
    <w:rsid w:val="124724CB"/>
    <w:rsid w:val="12622CF4"/>
    <w:rsid w:val="13A49216"/>
    <w:rsid w:val="13AD6B58"/>
    <w:rsid w:val="14E2C720"/>
    <w:rsid w:val="1631DF60"/>
    <w:rsid w:val="1650360A"/>
    <w:rsid w:val="17DE34C2"/>
    <w:rsid w:val="1908735A"/>
    <w:rsid w:val="194024BD"/>
    <w:rsid w:val="1ADBF72E"/>
    <w:rsid w:val="1C223493"/>
    <w:rsid w:val="1C3697A9"/>
    <w:rsid w:val="1D3F7B7B"/>
    <w:rsid w:val="1E15A46E"/>
    <w:rsid w:val="1EB01CFB"/>
    <w:rsid w:val="201B6301"/>
    <w:rsid w:val="218153F4"/>
    <w:rsid w:val="24782A88"/>
    <w:rsid w:val="2711FF30"/>
    <w:rsid w:val="291286AC"/>
    <w:rsid w:val="2AEB74E1"/>
    <w:rsid w:val="2D5A5C7C"/>
    <w:rsid w:val="32923C5A"/>
    <w:rsid w:val="32B76619"/>
    <w:rsid w:val="34722612"/>
    <w:rsid w:val="3A5F5FA2"/>
    <w:rsid w:val="3DC430C8"/>
    <w:rsid w:val="3FDEAF5E"/>
    <w:rsid w:val="40A40A1D"/>
    <w:rsid w:val="40E54E1F"/>
    <w:rsid w:val="40E850B7"/>
    <w:rsid w:val="42097269"/>
    <w:rsid w:val="454098E2"/>
    <w:rsid w:val="45EEADD2"/>
    <w:rsid w:val="4607881B"/>
    <w:rsid w:val="4AB3D341"/>
    <w:rsid w:val="4BEC5283"/>
    <w:rsid w:val="4C39C3BC"/>
    <w:rsid w:val="4C59F298"/>
    <w:rsid w:val="4D78EAB3"/>
    <w:rsid w:val="4DDD10A0"/>
    <w:rsid w:val="4EB4A4C7"/>
    <w:rsid w:val="503BDC24"/>
    <w:rsid w:val="510BB10C"/>
    <w:rsid w:val="51A3C237"/>
    <w:rsid w:val="5446F926"/>
    <w:rsid w:val="5523B479"/>
    <w:rsid w:val="58565862"/>
    <w:rsid w:val="587DF953"/>
    <w:rsid w:val="5B117590"/>
    <w:rsid w:val="5B34615F"/>
    <w:rsid w:val="5B3DC9BA"/>
    <w:rsid w:val="5E31286C"/>
    <w:rsid w:val="60221F7B"/>
    <w:rsid w:val="64978AD2"/>
    <w:rsid w:val="66845B9A"/>
    <w:rsid w:val="69EA37A4"/>
    <w:rsid w:val="69F3C053"/>
    <w:rsid w:val="6AA41955"/>
    <w:rsid w:val="6D87E998"/>
    <w:rsid w:val="7130D449"/>
    <w:rsid w:val="71EF434E"/>
    <w:rsid w:val="72A915D5"/>
    <w:rsid w:val="734C34CD"/>
    <w:rsid w:val="752EAA6A"/>
    <w:rsid w:val="75769B2B"/>
    <w:rsid w:val="75E69E2A"/>
    <w:rsid w:val="7667DD39"/>
    <w:rsid w:val="788A81C6"/>
    <w:rsid w:val="79745A7C"/>
    <w:rsid w:val="79A37330"/>
    <w:rsid w:val="7AEA7FF2"/>
    <w:rsid w:val="7B32C029"/>
    <w:rsid w:val="7D3D49D6"/>
    <w:rsid w:val="7FE3F43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4E23C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uiPriority="9"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F6082"/>
    <w:rPr>
      <w:sz w:val="24"/>
    </w:rPr>
  </w:style>
  <w:style w:type="paragraph" w:styleId="Heading1">
    <w:name w:val="heading 1"/>
    <w:basedOn w:val="Heading3"/>
    <w:next w:val="Normal"/>
    <w:qFormat/>
    <w:rsid w:val="00332DB9"/>
    <w:pPr>
      <w:keepLines/>
      <w:spacing w:before="160" w:after="80" w:line="259" w:lineRule="auto"/>
      <w:outlineLvl w:val="0"/>
    </w:pPr>
    <w:rPr>
      <w:rFonts w:ascii="Aptos" w:eastAsiaTheme="majorEastAsia" w:hAnsi="Aptos" w:cstheme="majorBidi"/>
      <w:b w:val="0"/>
      <w:i/>
      <w:color w:val="365F91" w:themeColor="accent1" w:themeShade="BF"/>
      <w:kern w:val="2"/>
      <w:sz w:val="32"/>
      <w:szCs w:val="32"/>
      <w14:ligatures w14:val="standardContextual"/>
    </w:rPr>
  </w:style>
  <w:style w:type="paragraph" w:styleId="Heading2">
    <w:name w:val="heading 2"/>
    <w:basedOn w:val="Heading3"/>
    <w:next w:val="Normal"/>
    <w:link w:val="Heading2Char"/>
    <w:uiPriority w:val="9"/>
    <w:qFormat/>
    <w:rsid w:val="00332DB9"/>
    <w:pPr>
      <w:keepLines/>
      <w:spacing w:before="160" w:after="80" w:line="259" w:lineRule="auto"/>
      <w:outlineLvl w:val="1"/>
    </w:pPr>
    <w:rPr>
      <w:rFonts w:ascii="Aptos" w:eastAsiaTheme="majorEastAsia" w:hAnsi="Aptos" w:cstheme="majorBidi"/>
      <w:b w:val="0"/>
      <w:i/>
      <w:color w:val="365F91" w:themeColor="accent1" w:themeShade="BF"/>
      <w:kern w:val="2"/>
      <w:sz w:val="28"/>
      <w:szCs w:val="28"/>
      <w14:ligatures w14:val="standardContextual"/>
    </w:rPr>
  </w:style>
  <w:style w:type="paragraph" w:styleId="Heading3">
    <w:name w:val="heading 3"/>
    <w:basedOn w:val="Normal"/>
    <w:next w:val="Normal"/>
    <w:link w:val="Heading3Char"/>
    <w:uiPriority w:val="9"/>
    <w:qFormat/>
    <w:rsid w:val="0059752F"/>
    <w:pPr>
      <w:keepNext/>
      <w:outlineLvl w:val="2"/>
    </w:pPr>
    <w:rPr>
      <w:rFonts w:ascii="Arial" w:hAnsi="Arial" w:cs="Arial"/>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Address">
    <w:name w:val="envelope address"/>
    <w:basedOn w:val="Normal"/>
    <w:rsid w:val="008C3499"/>
    <w:pPr>
      <w:framePr w:w="7920" w:h="1980" w:hRule="exact" w:hSpace="180" w:wrap="auto" w:hAnchor="page" w:xAlign="center" w:yAlign="bottom"/>
      <w:ind w:left="2880"/>
    </w:pPr>
    <w:rPr>
      <w:rFonts w:ascii="Arial" w:hAnsi="Arial"/>
      <w:b/>
      <w:sz w:val="28"/>
    </w:rPr>
  </w:style>
  <w:style w:type="paragraph" w:styleId="EnvelopeReturn">
    <w:name w:val="envelope return"/>
    <w:basedOn w:val="Normal"/>
    <w:rsid w:val="008C3499"/>
    <w:rPr>
      <w:rFonts w:ascii="Arial" w:hAnsi="Arial"/>
    </w:rPr>
  </w:style>
  <w:style w:type="paragraph" w:styleId="BodyText">
    <w:name w:val="Body Text"/>
    <w:basedOn w:val="Normal"/>
    <w:rsid w:val="008C3499"/>
    <w:pPr>
      <w:tabs>
        <w:tab w:val="left" w:pos="360"/>
      </w:tabs>
    </w:pPr>
  </w:style>
  <w:style w:type="paragraph" w:styleId="BalloonText">
    <w:name w:val="Balloon Text"/>
    <w:basedOn w:val="Normal"/>
    <w:semiHidden/>
    <w:rsid w:val="00D75978"/>
    <w:rPr>
      <w:rFonts w:ascii="Tahoma" w:hAnsi="Tahoma" w:cs="Tahoma"/>
      <w:sz w:val="16"/>
      <w:szCs w:val="16"/>
    </w:rPr>
  </w:style>
  <w:style w:type="character" w:styleId="CommentReference">
    <w:name w:val="annotation reference"/>
    <w:basedOn w:val="DefaultParagraphFont"/>
    <w:uiPriority w:val="99"/>
    <w:rsid w:val="003C7220"/>
    <w:rPr>
      <w:sz w:val="16"/>
      <w:szCs w:val="16"/>
    </w:rPr>
  </w:style>
  <w:style w:type="paragraph" w:styleId="CommentText">
    <w:name w:val="annotation text"/>
    <w:basedOn w:val="Normal"/>
    <w:link w:val="CommentTextChar"/>
    <w:uiPriority w:val="99"/>
    <w:rsid w:val="003C7220"/>
    <w:rPr>
      <w:sz w:val="20"/>
    </w:rPr>
  </w:style>
  <w:style w:type="paragraph" w:styleId="CommentSubject">
    <w:name w:val="annotation subject"/>
    <w:basedOn w:val="CommentText"/>
    <w:next w:val="CommentText"/>
    <w:semiHidden/>
    <w:rsid w:val="003C7220"/>
    <w:rPr>
      <w:b/>
      <w:bCs/>
    </w:rPr>
  </w:style>
  <w:style w:type="paragraph" w:styleId="Header">
    <w:name w:val="header"/>
    <w:basedOn w:val="Normal"/>
    <w:rsid w:val="00DE0494"/>
    <w:pPr>
      <w:tabs>
        <w:tab w:val="center" w:pos="4320"/>
        <w:tab w:val="right" w:pos="8640"/>
      </w:tabs>
    </w:pPr>
  </w:style>
  <w:style w:type="paragraph" w:styleId="Footer">
    <w:name w:val="footer"/>
    <w:basedOn w:val="Normal"/>
    <w:rsid w:val="00DE0494"/>
    <w:pPr>
      <w:tabs>
        <w:tab w:val="center" w:pos="4320"/>
        <w:tab w:val="right" w:pos="8640"/>
      </w:tabs>
    </w:pPr>
  </w:style>
  <w:style w:type="paragraph" w:styleId="FootnoteText">
    <w:name w:val="footnote text"/>
    <w:basedOn w:val="Normal"/>
    <w:link w:val="FootnoteTextChar"/>
    <w:semiHidden/>
    <w:rsid w:val="00DE0494"/>
    <w:pPr>
      <w:jc w:val="both"/>
    </w:pPr>
    <w:rPr>
      <w:color w:val="000000"/>
    </w:rPr>
  </w:style>
  <w:style w:type="character" w:styleId="PageNumber">
    <w:name w:val="page number"/>
    <w:basedOn w:val="DefaultParagraphFont"/>
    <w:rsid w:val="00B40A1F"/>
  </w:style>
  <w:style w:type="paragraph" w:styleId="Revision">
    <w:name w:val="Revision"/>
    <w:hidden/>
    <w:uiPriority w:val="99"/>
    <w:semiHidden/>
    <w:rsid w:val="00FB293A"/>
    <w:rPr>
      <w:sz w:val="24"/>
    </w:rPr>
  </w:style>
  <w:style w:type="table" w:styleId="TableGrid">
    <w:name w:val="Table Grid"/>
    <w:basedOn w:val="TableNormal"/>
    <w:rsid w:val="0079711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tion">
    <w:name w:val="Mention"/>
    <w:basedOn w:val="DefaultParagraphFont"/>
    <w:uiPriority w:val="99"/>
    <w:unhideWhenUsed/>
    <w:rsid w:val="009B42D4"/>
    <w:rPr>
      <w:color w:val="2B579A"/>
      <w:shd w:val="clear" w:color="auto" w:fill="E1DFDD"/>
    </w:rPr>
  </w:style>
  <w:style w:type="character" w:customStyle="1" w:styleId="CommentTextChar">
    <w:name w:val="Comment Text Char"/>
    <w:basedOn w:val="DefaultParagraphFont"/>
    <w:link w:val="CommentText"/>
    <w:uiPriority w:val="99"/>
    <w:rsid w:val="00B55E9A"/>
  </w:style>
  <w:style w:type="table" w:styleId="GridTable4-Accent1">
    <w:name w:val="Grid Table 4 Accent 1"/>
    <w:basedOn w:val="TableNormal"/>
    <w:uiPriority w:val="49"/>
    <w:rsid w:val="00232AA9"/>
    <w:rPr>
      <w:rFonts w:asciiTheme="minorHAnsi" w:eastAsiaTheme="minorHAnsi" w:hAnsiTheme="minorHAnsi" w:cstheme="minorBidi"/>
      <w:kern w:val="2"/>
      <w:sz w:val="22"/>
      <w:szCs w:val="22"/>
      <w14:ligatures w14:val="standardContextual"/>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character" w:styleId="Hyperlink">
    <w:name w:val="Hyperlink"/>
    <w:basedOn w:val="DefaultParagraphFont"/>
    <w:unhideWhenUsed/>
    <w:rsid w:val="00394840"/>
    <w:rPr>
      <w:color w:val="0000FF" w:themeColor="hyperlink"/>
      <w:u w:val="single"/>
    </w:rPr>
  </w:style>
  <w:style w:type="character" w:styleId="UnresolvedMention">
    <w:name w:val="Unresolved Mention"/>
    <w:basedOn w:val="DefaultParagraphFont"/>
    <w:uiPriority w:val="99"/>
    <w:semiHidden/>
    <w:unhideWhenUsed/>
    <w:rsid w:val="00394840"/>
    <w:rPr>
      <w:color w:val="605E5C"/>
      <w:shd w:val="clear" w:color="auto" w:fill="E1DFDD"/>
    </w:rPr>
  </w:style>
  <w:style w:type="character" w:styleId="FootnoteReference">
    <w:name w:val="footnote reference"/>
    <w:basedOn w:val="DefaultParagraphFont"/>
    <w:semiHidden/>
    <w:unhideWhenUsed/>
    <w:rsid w:val="00A35AFC"/>
    <w:rPr>
      <w:vertAlign w:val="superscript"/>
    </w:rPr>
  </w:style>
  <w:style w:type="character" w:customStyle="1" w:styleId="FootnoteTextChar">
    <w:name w:val="Footnote Text Char"/>
    <w:basedOn w:val="DefaultParagraphFont"/>
    <w:link w:val="FootnoteText"/>
    <w:semiHidden/>
    <w:rsid w:val="002077EC"/>
    <w:rPr>
      <w:color w:val="000000"/>
      <w:sz w:val="24"/>
    </w:rPr>
  </w:style>
  <w:style w:type="character" w:customStyle="1" w:styleId="Heading3Char">
    <w:name w:val="Heading 3 Char"/>
    <w:basedOn w:val="DefaultParagraphFont"/>
    <w:link w:val="Heading3"/>
    <w:uiPriority w:val="9"/>
    <w:rsid w:val="003E458F"/>
    <w:rPr>
      <w:rFonts w:ascii="Arial" w:hAnsi="Arial" w:cs="Arial"/>
      <w:b/>
      <w:sz w:val="24"/>
      <w:szCs w:val="22"/>
    </w:rPr>
  </w:style>
  <w:style w:type="paragraph" w:styleId="Title">
    <w:name w:val="Title"/>
    <w:basedOn w:val="Heading1"/>
    <w:next w:val="Normal"/>
    <w:link w:val="TitleChar"/>
    <w:qFormat/>
    <w:rsid w:val="00DE24B8"/>
    <w:pPr>
      <w:jc w:val="center"/>
    </w:pPr>
    <w:rPr>
      <w:bCs/>
      <w:iCs/>
    </w:rPr>
  </w:style>
  <w:style w:type="character" w:customStyle="1" w:styleId="TitleChar">
    <w:name w:val="Title Char"/>
    <w:basedOn w:val="DefaultParagraphFont"/>
    <w:link w:val="Title"/>
    <w:rsid w:val="005B763A"/>
    <w:rPr>
      <w:rFonts w:ascii="Aptos" w:eastAsiaTheme="majorEastAsia" w:hAnsi="Aptos" w:cstheme="majorBidi"/>
      <w:bCs/>
      <w:i/>
      <w:iCs/>
      <w:color w:val="365F91" w:themeColor="accent1" w:themeShade="BF"/>
      <w:kern w:val="2"/>
      <w:sz w:val="32"/>
      <w:szCs w:val="32"/>
      <w14:ligatures w14:val="standardContextual"/>
    </w:rPr>
  </w:style>
  <w:style w:type="character" w:customStyle="1" w:styleId="Heading2Char">
    <w:name w:val="Heading 2 Char"/>
    <w:basedOn w:val="DefaultParagraphFont"/>
    <w:link w:val="Heading2"/>
    <w:uiPriority w:val="9"/>
    <w:rsid w:val="0018670A"/>
    <w:rPr>
      <w:rFonts w:ascii="Aptos" w:eastAsiaTheme="majorEastAsia" w:hAnsi="Aptos" w:cstheme="majorBidi"/>
      <w:i/>
      <w:color w:val="365F91" w:themeColor="accent1" w:themeShade="BF"/>
      <w:kern w:val="2"/>
      <w:sz w:val="28"/>
      <w:szCs w:val="28"/>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97772993">
      <w:bodyDiv w:val="1"/>
      <w:marLeft w:val="0"/>
      <w:marRight w:val="0"/>
      <w:marTop w:val="0"/>
      <w:marBottom w:val="0"/>
      <w:divBdr>
        <w:top w:val="none" w:sz="0" w:space="0" w:color="auto"/>
        <w:left w:val="none" w:sz="0" w:space="0" w:color="auto"/>
        <w:bottom w:val="none" w:sz="0" w:space="0" w:color="auto"/>
        <w:right w:val="none" w:sz="0" w:space="0" w:color="auto"/>
      </w:divBdr>
    </w:div>
    <w:div w:id="808283447">
      <w:bodyDiv w:val="1"/>
      <w:marLeft w:val="0"/>
      <w:marRight w:val="0"/>
      <w:marTop w:val="0"/>
      <w:marBottom w:val="0"/>
      <w:divBdr>
        <w:top w:val="none" w:sz="0" w:space="0" w:color="auto"/>
        <w:left w:val="none" w:sz="0" w:space="0" w:color="auto"/>
        <w:bottom w:val="none" w:sz="0" w:space="0" w:color="auto"/>
        <w:right w:val="none" w:sz="0" w:space="0" w:color="auto"/>
      </w:divBdr>
    </w:div>
    <w:div w:id="991254666">
      <w:bodyDiv w:val="1"/>
      <w:marLeft w:val="0"/>
      <w:marRight w:val="0"/>
      <w:marTop w:val="0"/>
      <w:marBottom w:val="0"/>
      <w:divBdr>
        <w:top w:val="none" w:sz="0" w:space="0" w:color="auto"/>
        <w:left w:val="none" w:sz="0" w:space="0" w:color="auto"/>
        <w:bottom w:val="none" w:sz="0" w:space="0" w:color="auto"/>
        <w:right w:val="none" w:sz="0" w:space="0" w:color="auto"/>
      </w:divBdr>
    </w:div>
    <w:div w:id="1152452480">
      <w:bodyDiv w:val="1"/>
      <w:marLeft w:val="0"/>
      <w:marRight w:val="0"/>
      <w:marTop w:val="0"/>
      <w:marBottom w:val="0"/>
      <w:divBdr>
        <w:top w:val="none" w:sz="0" w:space="0" w:color="auto"/>
        <w:left w:val="none" w:sz="0" w:space="0" w:color="auto"/>
        <w:bottom w:val="none" w:sz="0" w:space="0" w:color="auto"/>
        <w:right w:val="none" w:sz="0" w:space="0" w:color="auto"/>
      </w:divBdr>
    </w:div>
    <w:div w:id="1304384515">
      <w:bodyDiv w:val="1"/>
      <w:marLeft w:val="0"/>
      <w:marRight w:val="0"/>
      <w:marTop w:val="0"/>
      <w:marBottom w:val="0"/>
      <w:divBdr>
        <w:top w:val="none" w:sz="0" w:space="0" w:color="auto"/>
        <w:left w:val="none" w:sz="0" w:space="0" w:color="auto"/>
        <w:bottom w:val="none" w:sz="0" w:space="0" w:color="auto"/>
        <w:right w:val="none" w:sz="0" w:space="0" w:color="auto"/>
      </w:divBdr>
    </w:div>
    <w:div w:id="2074695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6E022C42DF2B2F42B01720971598790C" ma:contentTypeVersion="10" ma:contentTypeDescription="Create a new document." ma:contentTypeScope="" ma:versionID="db4df3b3515dbe228a0a96b64ec526a2">
  <xsd:schema xmlns:xsd="http://www.w3.org/2001/XMLSchema" xmlns:xs="http://www.w3.org/2001/XMLSchema" xmlns:p="http://schemas.microsoft.com/office/2006/metadata/properties" xmlns:ns2="cda97204-12a4-4db8-9438-c29916e3b7f9" xmlns:ns3="850be1ec-5fef-4875-bb69-1b2609bd8d8f" targetNamespace="http://schemas.microsoft.com/office/2006/metadata/properties" ma:root="true" ma:fieldsID="0f3d6ed7b833ab7ccd8a2bf1f89a6926" ns2:_="" ns3:_="">
    <xsd:import namespace="cda97204-12a4-4db8-9438-c29916e3b7f9"/>
    <xsd:import namespace="850be1ec-5fef-4875-bb69-1b2609bd8d8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element ref="ns2:MediaServiceDateTaken"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a97204-12a4-4db8-9438-c29916e3b7f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850be1ec-5fef-4875-bb69-1b2609bd8d8f"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F2AB1C5-39E8-4C81-AAEC-87BA380BE3EB}">
  <ds:schemaRefs>
    <ds:schemaRef ds:uri="http://schemas.openxmlformats.org/officeDocument/2006/bibliography"/>
  </ds:schemaRefs>
</ds:datastoreItem>
</file>

<file path=customXml/itemProps2.xml><?xml version="1.0" encoding="utf-8"?>
<ds:datastoreItem xmlns:ds="http://schemas.openxmlformats.org/officeDocument/2006/customXml" ds:itemID="{C53C4436-6D99-4EA9-BFD8-4ED0915434FC}"/>
</file>

<file path=customXml/itemProps3.xml><?xml version="1.0" encoding="utf-8"?>
<ds:datastoreItem xmlns:ds="http://schemas.openxmlformats.org/officeDocument/2006/customXml" ds:itemID="{380BB9A8-56C4-4F62-86D9-C2ED14B95DF1}"/>
</file>

<file path=customXml/itemProps4.xml><?xml version="1.0" encoding="utf-8"?>
<ds:datastoreItem xmlns:ds="http://schemas.openxmlformats.org/officeDocument/2006/customXml" ds:itemID="{CF92405B-FA1C-4998-B17F-EA1E6344FA38}"/>
</file>

<file path=docProps/app.xml><?xml version="1.0" encoding="utf-8"?>
<Properties xmlns="http://schemas.openxmlformats.org/officeDocument/2006/extended-properties" xmlns:vt="http://schemas.openxmlformats.org/officeDocument/2006/docPropsVTypes">
  <Template>Normal</Template>
  <TotalTime>0</TotalTime>
  <Pages>3</Pages>
  <Words>840</Words>
  <Characters>4792</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5621</CharactersWithSpaces>
  <SharedDoc>false</SharedDoc>
  <HLinks>
    <vt:vector size="216" baseType="variant">
      <vt:variant>
        <vt:i4>5439604</vt:i4>
      </vt:variant>
      <vt:variant>
        <vt:i4>105</vt:i4>
      </vt:variant>
      <vt:variant>
        <vt:i4>0</vt:i4>
      </vt:variant>
      <vt:variant>
        <vt:i4>5</vt:i4>
      </vt:variant>
      <vt:variant>
        <vt:lpwstr>mailto:DWMILLER@southernco.com</vt:lpwstr>
      </vt:variant>
      <vt:variant>
        <vt:lpwstr/>
      </vt:variant>
      <vt:variant>
        <vt:i4>5636195</vt:i4>
      </vt:variant>
      <vt:variant>
        <vt:i4>102</vt:i4>
      </vt:variant>
      <vt:variant>
        <vt:i4>0</vt:i4>
      </vt:variant>
      <vt:variant>
        <vt:i4>5</vt:i4>
      </vt:variant>
      <vt:variant>
        <vt:lpwstr>mailto:JRHUBBER@southernco.com</vt:lpwstr>
      </vt:variant>
      <vt:variant>
        <vt:lpwstr/>
      </vt:variant>
      <vt:variant>
        <vt:i4>5636195</vt:i4>
      </vt:variant>
      <vt:variant>
        <vt:i4>99</vt:i4>
      </vt:variant>
      <vt:variant>
        <vt:i4>0</vt:i4>
      </vt:variant>
      <vt:variant>
        <vt:i4>5</vt:i4>
      </vt:variant>
      <vt:variant>
        <vt:lpwstr>mailto:JRHUBBER@southernco.com</vt:lpwstr>
      </vt:variant>
      <vt:variant>
        <vt:lpwstr/>
      </vt:variant>
      <vt:variant>
        <vt:i4>5374050</vt:i4>
      </vt:variant>
      <vt:variant>
        <vt:i4>96</vt:i4>
      </vt:variant>
      <vt:variant>
        <vt:i4>0</vt:i4>
      </vt:variant>
      <vt:variant>
        <vt:i4>5</vt:i4>
      </vt:variant>
      <vt:variant>
        <vt:lpwstr>mailto:EAMILLER@southernco.com</vt:lpwstr>
      </vt:variant>
      <vt:variant>
        <vt:lpwstr/>
      </vt:variant>
      <vt:variant>
        <vt:i4>5832807</vt:i4>
      </vt:variant>
      <vt:variant>
        <vt:i4>93</vt:i4>
      </vt:variant>
      <vt:variant>
        <vt:i4>0</vt:i4>
      </vt:variant>
      <vt:variant>
        <vt:i4>5</vt:i4>
      </vt:variant>
      <vt:variant>
        <vt:lpwstr>mailto:MJBOWERS@SOUTHERNCO.COM</vt:lpwstr>
      </vt:variant>
      <vt:variant>
        <vt:lpwstr/>
      </vt:variant>
      <vt:variant>
        <vt:i4>6160505</vt:i4>
      </vt:variant>
      <vt:variant>
        <vt:i4>90</vt:i4>
      </vt:variant>
      <vt:variant>
        <vt:i4>0</vt:i4>
      </vt:variant>
      <vt:variant>
        <vt:i4>5</vt:i4>
      </vt:variant>
      <vt:variant>
        <vt:lpwstr>mailto:JWALTERS@SOUTHERNCO.COM</vt:lpwstr>
      </vt:variant>
      <vt:variant>
        <vt:lpwstr/>
      </vt:variant>
      <vt:variant>
        <vt:i4>5242984</vt:i4>
      </vt:variant>
      <vt:variant>
        <vt:i4>87</vt:i4>
      </vt:variant>
      <vt:variant>
        <vt:i4>0</vt:i4>
      </vt:variant>
      <vt:variant>
        <vt:i4>5</vt:i4>
      </vt:variant>
      <vt:variant>
        <vt:lpwstr>mailto:TODWEAVE@southernco.com</vt:lpwstr>
      </vt:variant>
      <vt:variant>
        <vt:lpwstr/>
      </vt:variant>
      <vt:variant>
        <vt:i4>5439604</vt:i4>
      </vt:variant>
      <vt:variant>
        <vt:i4>84</vt:i4>
      </vt:variant>
      <vt:variant>
        <vt:i4>0</vt:i4>
      </vt:variant>
      <vt:variant>
        <vt:i4>5</vt:i4>
      </vt:variant>
      <vt:variant>
        <vt:lpwstr>mailto:DWMILLER@southernco.com</vt:lpwstr>
      </vt:variant>
      <vt:variant>
        <vt:lpwstr/>
      </vt:variant>
      <vt:variant>
        <vt:i4>131075</vt:i4>
      </vt:variant>
      <vt:variant>
        <vt:i4>81</vt:i4>
      </vt:variant>
      <vt:variant>
        <vt:i4>0</vt:i4>
      </vt:variant>
      <vt:variant>
        <vt:i4>5</vt:i4>
      </vt:variant>
      <vt:variant>
        <vt:lpwstr>https://soco365.sharepoint.com/:f:/r/sites/2025IRP318/Shared Documents/General/Documentation/Technical Appendices/Prior IRPs/2022 IRP/TS Vol 1/7 TS Financial Review?csf=1&amp;web=1&amp;e=zU4P5X</vt:lpwstr>
      </vt:variant>
      <vt:variant>
        <vt:lpwstr/>
      </vt:variant>
      <vt:variant>
        <vt:i4>5832807</vt:i4>
      </vt:variant>
      <vt:variant>
        <vt:i4>78</vt:i4>
      </vt:variant>
      <vt:variant>
        <vt:i4>0</vt:i4>
      </vt:variant>
      <vt:variant>
        <vt:i4>5</vt:i4>
      </vt:variant>
      <vt:variant>
        <vt:lpwstr>mailto:MJBOWERS@SOUTHERNCO.COM</vt:lpwstr>
      </vt:variant>
      <vt:variant>
        <vt:lpwstr/>
      </vt:variant>
      <vt:variant>
        <vt:i4>5439604</vt:i4>
      </vt:variant>
      <vt:variant>
        <vt:i4>75</vt:i4>
      </vt:variant>
      <vt:variant>
        <vt:i4>0</vt:i4>
      </vt:variant>
      <vt:variant>
        <vt:i4>5</vt:i4>
      </vt:variant>
      <vt:variant>
        <vt:lpwstr>mailto:DWMILLER@southernco.com</vt:lpwstr>
      </vt:variant>
      <vt:variant>
        <vt:lpwstr/>
      </vt:variant>
      <vt:variant>
        <vt:i4>5242984</vt:i4>
      </vt:variant>
      <vt:variant>
        <vt:i4>72</vt:i4>
      </vt:variant>
      <vt:variant>
        <vt:i4>0</vt:i4>
      </vt:variant>
      <vt:variant>
        <vt:i4>5</vt:i4>
      </vt:variant>
      <vt:variant>
        <vt:lpwstr>mailto:TODWEAVE@southernco.com</vt:lpwstr>
      </vt:variant>
      <vt:variant>
        <vt:lpwstr/>
      </vt:variant>
      <vt:variant>
        <vt:i4>5439604</vt:i4>
      </vt:variant>
      <vt:variant>
        <vt:i4>69</vt:i4>
      </vt:variant>
      <vt:variant>
        <vt:i4>0</vt:i4>
      </vt:variant>
      <vt:variant>
        <vt:i4>5</vt:i4>
      </vt:variant>
      <vt:variant>
        <vt:lpwstr>mailto:DWMILLER@southernco.com</vt:lpwstr>
      </vt:variant>
      <vt:variant>
        <vt:lpwstr/>
      </vt:variant>
      <vt:variant>
        <vt:i4>5242984</vt:i4>
      </vt:variant>
      <vt:variant>
        <vt:i4>66</vt:i4>
      </vt:variant>
      <vt:variant>
        <vt:i4>0</vt:i4>
      </vt:variant>
      <vt:variant>
        <vt:i4>5</vt:i4>
      </vt:variant>
      <vt:variant>
        <vt:lpwstr>mailto:TODWEAVE@southernco.com</vt:lpwstr>
      </vt:variant>
      <vt:variant>
        <vt:lpwstr/>
      </vt:variant>
      <vt:variant>
        <vt:i4>6160505</vt:i4>
      </vt:variant>
      <vt:variant>
        <vt:i4>63</vt:i4>
      </vt:variant>
      <vt:variant>
        <vt:i4>0</vt:i4>
      </vt:variant>
      <vt:variant>
        <vt:i4>5</vt:i4>
      </vt:variant>
      <vt:variant>
        <vt:lpwstr>mailto:JWALTERS@SOUTHERNCO.COM</vt:lpwstr>
      </vt:variant>
      <vt:variant>
        <vt:lpwstr/>
      </vt:variant>
      <vt:variant>
        <vt:i4>5242984</vt:i4>
      </vt:variant>
      <vt:variant>
        <vt:i4>60</vt:i4>
      </vt:variant>
      <vt:variant>
        <vt:i4>0</vt:i4>
      </vt:variant>
      <vt:variant>
        <vt:i4>5</vt:i4>
      </vt:variant>
      <vt:variant>
        <vt:lpwstr>mailto:TODWEAVE@southernco.com</vt:lpwstr>
      </vt:variant>
      <vt:variant>
        <vt:lpwstr/>
      </vt:variant>
      <vt:variant>
        <vt:i4>5242984</vt:i4>
      </vt:variant>
      <vt:variant>
        <vt:i4>57</vt:i4>
      </vt:variant>
      <vt:variant>
        <vt:i4>0</vt:i4>
      </vt:variant>
      <vt:variant>
        <vt:i4>5</vt:i4>
      </vt:variant>
      <vt:variant>
        <vt:lpwstr>mailto:TODWEAVE@southernco.com</vt:lpwstr>
      </vt:variant>
      <vt:variant>
        <vt:lpwstr/>
      </vt:variant>
      <vt:variant>
        <vt:i4>5242984</vt:i4>
      </vt:variant>
      <vt:variant>
        <vt:i4>54</vt:i4>
      </vt:variant>
      <vt:variant>
        <vt:i4>0</vt:i4>
      </vt:variant>
      <vt:variant>
        <vt:i4>5</vt:i4>
      </vt:variant>
      <vt:variant>
        <vt:lpwstr>mailto:TODWEAVE@southernco.com</vt:lpwstr>
      </vt:variant>
      <vt:variant>
        <vt:lpwstr/>
      </vt:variant>
      <vt:variant>
        <vt:i4>5636195</vt:i4>
      </vt:variant>
      <vt:variant>
        <vt:i4>51</vt:i4>
      </vt:variant>
      <vt:variant>
        <vt:i4>0</vt:i4>
      </vt:variant>
      <vt:variant>
        <vt:i4>5</vt:i4>
      </vt:variant>
      <vt:variant>
        <vt:lpwstr>mailto:JRHUBBER@southernco.com</vt:lpwstr>
      </vt:variant>
      <vt:variant>
        <vt:lpwstr/>
      </vt:variant>
      <vt:variant>
        <vt:i4>5439604</vt:i4>
      </vt:variant>
      <vt:variant>
        <vt:i4>48</vt:i4>
      </vt:variant>
      <vt:variant>
        <vt:i4>0</vt:i4>
      </vt:variant>
      <vt:variant>
        <vt:i4>5</vt:i4>
      </vt:variant>
      <vt:variant>
        <vt:lpwstr>mailto:DWMILLER@southernco.com</vt:lpwstr>
      </vt:variant>
      <vt:variant>
        <vt:lpwstr/>
      </vt:variant>
      <vt:variant>
        <vt:i4>5242984</vt:i4>
      </vt:variant>
      <vt:variant>
        <vt:i4>45</vt:i4>
      </vt:variant>
      <vt:variant>
        <vt:i4>0</vt:i4>
      </vt:variant>
      <vt:variant>
        <vt:i4>5</vt:i4>
      </vt:variant>
      <vt:variant>
        <vt:lpwstr>mailto:TODWEAVE@southernco.com</vt:lpwstr>
      </vt:variant>
      <vt:variant>
        <vt:lpwstr/>
      </vt:variant>
      <vt:variant>
        <vt:i4>6160505</vt:i4>
      </vt:variant>
      <vt:variant>
        <vt:i4>42</vt:i4>
      </vt:variant>
      <vt:variant>
        <vt:i4>0</vt:i4>
      </vt:variant>
      <vt:variant>
        <vt:i4>5</vt:i4>
      </vt:variant>
      <vt:variant>
        <vt:lpwstr>mailto:JWALTERS@SOUTHERNCO.COM</vt:lpwstr>
      </vt:variant>
      <vt:variant>
        <vt:lpwstr/>
      </vt:variant>
      <vt:variant>
        <vt:i4>5439604</vt:i4>
      </vt:variant>
      <vt:variant>
        <vt:i4>39</vt:i4>
      </vt:variant>
      <vt:variant>
        <vt:i4>0</vt:i4>
      </vt:variant>
      <vt:variant>
        <vt:i4>5</vt:i4>
      </vt:variant>
      <vt:variant>
        <vt:lpwstr>mailto:DWMILLER@southernco.com</vt:lpwstr>
      </vt:variant>
      <vt:variant>
        <vt:lpwstr/>
      </vt:variant>
      <vt:variant>
        <vt:i4>5242984</vt:i4>
      </vt:variant>
      <vt:variant>
        <vt:i4>36</vt:i4>
      </vt:variant>
      <vt:variant>
        <vt:i4>0</vt:i4>
      </vt:variant>
      <vt:variant>
        <vt:i4>5</vt:i4>
      </vt:variant>
      <vt:variant>
        <vt:lpwstr>mailto:TODWEAVE@southernco.com</vt:lpwstr>
      </vt:variant>
      <vt:variant>
        <vt:lpwstr/>
      </vt:variant>
      <vt:variant>
        <vt:i4>4915304</vt:i4>
      </vt:variant>
      <vt:variant>
        <vt:i4>33</vt:i4>
      </vt:variant>
      <vt:variant>
        <vt:i4>0</vt:i4>
      </vt:variant>
      <vt:variant>
        <vt:i4>5</vt:i4>
      </vt:variant>
      <vt:variant>
        <vt:lpwstr>mailto:CHAWILSO@southernco.com</vt:lpwstr>
      </vt:variant>
      <vt:variant>
        <vt:lpwstr/>
      </vt:variant>
      <vt:variant>
        <vt:i4>5046398</vt:i4>
      </vt:variant>
      <vt:variant>
        <vt:i4>30</vt:i4>
      </vt:variant>
      <vt:variant>
        <vt:i4>0</vt:i4>
      </vt:variant>
      <vt:variant>
        <vt:i4>5</vt:i4>
      </vt:variant>
      <vt:variant>
        <vt:lpwstr>mailto:RCFLOWER@southernco.com</vt:lpwstr>
      </vt:variant>
      <vt:variant>
        <vt:lpwstr/>
      </vt:variant>
      <vt:variant>
        <vt:i4>6160505</vt:i4>
      </vt:variant>
      <vt:variant>
        <vt:i4>27</vt:i4>
      </vt:variant>
      <vt:variant>
        <vt:i4>0</vt:i4>
      </vt:variant>
      <vt:variant>
        <vt:i4>5</vt:i4>
      </vt:variant>
      <vt:variant>
        <vt:lpwstr>mailto:JWALTERS@SOUTHERNCO.COM</vt:lpwstr>
      </vt:variant>
      <vt:variant>
        <vt:lpwstr/>
      </vt:variant>
      <vt:variant>
        <vt:i4>6160505</vt:i4>
      </vt:variant>
      <vt:variant>
        <vt:i4>24</vt:i4>
      </vt:variant>
      <vt:variant>
        <vt:i4>0</vt:i4>
      </vt:variant>
      <vt:variant>
        <vt:i4>5</vt:i4>
      </vt:variant>
      <vt:variant>
        <vt:lpwstr>mailto:JWALTERS@SOUTHERNCO.COM</vt:lpwstr>
      </vt:variant>
      <vt:variant>
        <vt:lpwstr/>
      </vt:variant>
      <vt:variant>
        <vt:i4>5439604</vt:i4>
      </vt:variant>
      <vt:variant>
        <vt:i4>21</vt:i4>
      </vt:variant>
      <vt:variant>
        <vt:i4>0</vt:i4>
      </vt:variant>
      <vt:variant>
        <vt:i4>5</vt:i4>
      </vt:variant>
      <vt:variant>
        <vt:lpwstr>mailto:DWMILLER@southernco.com</vt:lpwstr>
      </vt:variant>
      <vt:variant>
        <vt:lpwstr/>
      </vt:variant>
      <vt:variant>
        <vt:i4>5242984</vt:i4>
      </vt:variant>
      <vt:variant>
        <vt:i4>18</vt:i4>
      </vt:variant>
      <vt:variant>
        <vt:i4>0</vt:i4>
      </vt:variant>
      <vt:variant>
        <vt:i4>5</vt:i4>
      </vt:variant>
      <vt:variant>
        <vt:lpwstr>mailto:TODWEAVE@southernco.com</vt:lpwstr>
      </vt:variant>
      <vt:variant>
        <vt:lpwstr/>
      </vt:variant>
      <vt:variant>
        <vt:i4>4653154</vt:i4>
      </vt:variant>
      <vt:variant>
        <vt:i4>15</vt:i4>
      </vt:variant>
      <vt:variant>
        <vt:i4>0</vt:i4>
      </vt:variant>
      <vt:variant>
        <vt:i4>5</vt:i4>
      </vt:variant>
      <vt:variant>
        <vt:lpwstr>mailto:JBWEATHE@southernco.com</vt:lpwstr>
      </vt:variant>
      <vt:variant>
        <vt:lpwstr/>
      </vt:variant>
      <vt:variant>
        <vt:i4>6160505</vt:i4>
      </vt:variant>
      <vt:variant>
        <vt:i4>12</vt:i4>
      </vt:variant>
      <vt:variant>
        <vt:i4>0</vt:i4>
      </vt:variant>
      <vt:variant>
        <vt:i4>5</vt:i4>
      </vt:variant>
      <vt:variant>
        <vt:lpwstr>mailto:JWALTERS@SOUTHERNCO.COM</vt:lpwstr>
      </vt:variant>
      <vt:variant>
        <vt:lpwstr/>
      </vt:variant>
      <vt:variant>
        <vt:i4>5439604</vt:i4>
      </vt:variant>
      <vt:variant>
        <vt:i4>9</vt:i4>
      </vt:variant>
      <vt:variant>
        <vt:i4>0</vt:i4>
      </vt:variant>
      <vt:variant>
        <vt:i4>5</vt:i4>
      </vt:variant>
      <vt:variant>
        <vt:lpwstr>mailto:DWMILLER@southernco.com</vt:lpwstr>
      </vt:variant>
      <vt:variant>
        <vt:lpwstr/>
      </vt:variant>
      <vt:variant>
        <vt:i4>5439604</vt:i4>
      </vt:variant>
      <vt:variant>
        <vt:i4>6</vt:i4>
      </vt:variant>
      <vt:variant>
        <vt:i4>0</vt:i4>
      </vt:variant>
      <vt:variant>
        <vt:i4>5</vt:i4>
      </vt:variant>
      <vt:variant>
        <vt:lpwstr>mailto:DWMILLER@southernco.com</vt:lpwstr>
      </vt:variant>
      <vt:variant>
        <vt:lpwstr/>
      </vt:variant>
      <vt:variant>
        <vt:i4>6160505</vt:i4>
      </vt:variant>
      <vt:variant>
        <vt:i4>3</vt:i4>
      </vt:variant>
      <vt:variant>
        <vt:i4>0</vt:i4>
      </vt:variant>
      <vt:variant>
        <vt:i4>5</vt:i4>
      </vt:variant>
      <vt:variant>
        <vt:lpwstr>mailto:JWALTERS@SOUTHERNCO.COM</vt:lpwstr>
      </vt:variant>
      <vt:variant>
        <vt:lpwstr/>
      </vt:variant>
      <vt:variant>
        <vt:i4>5242984</vt:i4>
      </vt:variant>
      <vt:variant>
        <vt:i4>0</vt:i4>
      </vt:variant>
      <vt:variant>
        <vt:i4>0</vt:i4>
      </vt:variant>
      <vt:variant>
        <vt:i4>5</vt:i4>
      </vt:variant>
      <vt:variant>
        <vt:lpwstr>mailto:TODWEAVE@southernco.com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2025-01-24T20:58:00Z</dcterms:created>
  <dcterms:modified xsi:type="dcterms:W3CDTF">2025-01-24T20:58:00Z</dcterms:modified>
  <cp:contentStatus>Final</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arkAsFinal">
    <vt:bool>true</vt:bool>
  </property>
  <property fmtid="{D5CDD505-2E9C-101B-9397-08002B2CF9AE}" pid="3" name="MSIP_Label_ed3826ce-7c18-471d-9596-93de5bae332e_Enabled">
    <vt:lpwstr>true</vt:lpwstr>
  </property>
  <property fmtid="{D5CDD505-2E9C-101B-9397-08002B2CF9AE}" pid="4" name="MSIP_Label_ed3826ce-7c18-471d-9596-93de5bae332e_SetDate">
    <vt:lpwstr>2025-01-24T20:58:25Z</vt:lpwstr>
  </property>
  <property fmtid="{D5CDD505-2E9C-101B-9397-08002B2CF9AE}" pid="5" name="MSIP_Label_ed3826ce-7c18-471d-9596-93de5bae332e_Method">
    <vt:lpwstr>Standard</vt:lpwstr>
  </property>
  <property fmtid="{D5CDD505-2E9C-101B-9397-08002B2CF9AE}" pid="6" name="MSIP_Label_ed3826ce-7c18-471d-9596-93de5bae332e_Name">
    <vt:lpwstr>Internal</vt:lpwstr>
  </property>
  <property fmtid="{D5CDD505-2E9C-101B-9397-08002B2CF9AE}" pid="7" name="MSIP_Label_ed3826ce-7c18-471d-9596-93de5bae332e_SiteId">
    <vt:lpwstr>c0a02e2d-1186-410a-8895-0a4a252ebf17</vt:lpwstr>
  </property>
  <property fmtid="{D5CDD505-2E9C-101B-9397-08002B2CF9AE}" pid="8" name="MSIP_Label_ed3826ce-7c18-471d-9596-93de5bae332e_ActionId">
    <vt:lpwstr>b4501f40-86f8-432d-8c35-bbc56f6ea65f</vt:lpwstr>
  </property>
  <property fmtid="{D5CDD505-2E9C-101B-9397-08002B2CF9AE}" pid="9" name="MSIP_Label_ed3826ce-7c18-471d-9596-93de5bae332e_ContentBits">
    <vt:lpwstr>0</vt:lpwstr>
  </property>
  <property fmtid="{D5CDD505-2E9C-101B-9397-08002B2CF9AE}" pid="10" name="ContentTypeId">
    <vt:lpwstr>0x0101006E022C42DF2B2F42B01720971598790C</vt:lpwstr>
  </property>
  <property fmtid="{D5CDD505-2E9C-101B-9397-08002B2CF9AE}" pid="11" name="_NewReviewCycle">
    <vt:lpwstr/>
  </property>
</Properties>
</file>